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2.xml.rels" ContentType="application/vnd.openxmlformats-package.relationships+xml"/>
  <Override PartName="/customXml/_rels/item3.xml.rels" ContentType="application/vnd.openxmlformats-package.relationships+xml"/>
  <Override PartName="/customXml/_rels/item5.xml.rels" ContentType="application/vnd.openxmlformats-package.relationships+xml"/>
  <Override PartName="/customXml/_rels/item4.xml.rels" ContentType="application/vnd.openxmlformats-package.relationships+xml"/>
  <Override PartName="/customXml/_rels/item1.xml.rels" ContentType="application/vnd.openxmlformats-package.relationship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3.xml" ContentType="application/xml"/>
  <Override PartName="/customXml/itemProps2.xml" ContentType="application/vnd.openxmlformats-officedocument.customXmlProperties+xml"/>
  <Override PartName="/word/_rels/document.xml.rels" ContentType="application/vnd.openxmlformats-package.relationships+xml"/>
  <Override PartName="/word/header5.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header2.xml" ContentType="application/vnd.openxmlformats-officedocument.wordprocessingml.header+xml"/>
  <Override PartName="/word/footer2.xml" ContentType="application/vnd.openxmlformats-officedocument.wordprocessingml.footer+xml"/>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3148" w:leader="none"/>
          <w:tab w:val="center" w:pos="4818" w:leader="none"/>
          <w:tab w:val="left" w:pos="6926" w:leader="none"/>
        </w:tabs>
        <w:spacing w:lineRule="auto" w:line="240"/>
        <w:ind w:hanging="0"/>
        <w:jc w:val="right"/>
        <w:rPr>
          <w:bCs/>
          <w:i/>
          <w:i/>
          <w:color w:val="000000"/>
          <w:sz w:val="24"/>
          <w:szCs w:val="24"/>
        </w:rPr>
      </w:pPr>
      <w:r>
        <w:rPr>
          <w:bCs/>
          <w:i/>
          <w:color w:val="000000"/>
          <w:sz w:val="24"/>
          <w:szCs w:val="24"/>
        </w:rPr>
      </w:r>
    </w:p>
    <w:p>
      <w:pPr>
        <w:pStyle w:val="Normal"/>
        <w:shd w:val="clear" w:color="auto" w:fill="FFFFFF"/>
        <w:tabs>
          <w:tab w:val="clear" w:pos="708"/>
          <w:tab w:val="left" w:pos="3148" w:leader="none"/>
          <w:tab w:val="center" w:pos="4818" w:leader="none"/>
        </w:tabs>
        <w:spacing w:lineRule="auto" w:line="240"/>
        <w:ind w:hanging="0"/>
        <w:jc w:val="right"/>
        <w:rPr>
          <w:bCs/>
          <w:i/>
          <w:i/>
          <w:color w:val="000000"/>
          <w:sz w:val="22"/>
          <w:szCs w:val="22"/>
        </w:rPr>
      </w:pPr>
      <w:r>
        <w:rPr>
          <w:b/>
          <w:bCs/>
          <w:color w:val="000000"/>
          <w:sz w:val="24"/>
          <w:szCs w:val="24"/>
        </w:rPr>
        <w:tab/>
      </w:r>
    </w:p>
    <w:p>
      <w:pPr>
        <w:pStyle w:val="Normal"/>
        <w:shd w:val="clear" w:color="auto" w:fill="FFFFFF"/>
        <w:tabs>
          <w:tab w:val="clear" w:pos="708"/>
          <w:tab w:val="left" w:pos="3148" w:leader="none"/>
          <w:tab w:val="center" w:pos="4818" w:leader="none"/>
        </w:tabs>
        <w:spacing w:lineRule="auto" w:line="240"/>
        <w:ind w:hanging="0"/>
        <w:jc w:val="right"/>
        <w:rPr>
          <w:b/>
          <w:bCs/>
          <w:color w:val="000000"/>
          <w:sz w:val="24"/>
          <w:szCs w:val="24"/>
        </w:rPr>
      </w:pPr>
      <w:r>
        <w:rPr>
          <w:b/>
          <w:bCs/>
          <w:color w:val="000000"/>
          <w:sz w:val="24"/>
          <w:szCs w:val="24"/>
        </w:rPr>
      </w:r>
    </w:p>
    <w:p>
      <w:pPr>
        <w:pStyle w:val="Normal"/>
        <w:shd w:val="clear" w:color="auto" w:fill="FFFFFF"/>
        <w:tabs>
          <w:tab w:val="clear" w:pos="708"/>
          <w:tab w:val="left" w:pos="3148" w:leader="none"/>
          <w:tab w:val="center" w:pos="4818" w:leader="none"/>
          <w:tab w:val="left" w:pos="6926" w:leader="none"/>
        </w:tabs>
        <w:spacing w:lineRule="auto" w:line="240"/>
        <w:ind w:hanging="0"/>
        <w:jc w:val="center"/>
        <w:rPr>
          <w:b/>
          <w:bCs/>
          <w:color w:val="000000"/>
          <w:sz w:val="24"/>
          <w:szCs w:val="24"/>
        </w:rPr>
      </w:pPr>
      <w:r>
        <w:rPr>
          <w:b/>
          <w:bCs/>
          <w:color w:val="000000"/>
          <w:sz w:val="24"/>
          <w:szCs w:val="24"/>
        </w:rPr>
        <w:t xml:space="preserve">Договор подряда </w:t>
      </w:r>
    </w:p>
    <w:p>
      <w:pPr>
        <w:pStyle w:val="Normal"/>
        <w:shd w:val="clear" w:color="auto" w:fill="FFFFFF"/>
        <w:tabs>
          <w:tab w:val="clear" w:pos="708"/>
          <w:tab w:val="left" w:pos="3148" w:leader="none"/>
          <w:tab w:val="center" w:pos="4818" w:leader="none"/>
          <w:tab w:val="left" w:pos="6926" w:leader="none"/>
        </w:tabs>
        <w:spacing w:lineRule="auto" w:line="240"/>
        <w:ind w:hanging="0"/>
        <w:jc w:val="center"/>
        <w:rPr>
          <w:b/>
          <w:sz w:val="24"/>
          <w:szCs w:val="24"/>
        </w:rPr>
      </w:pPr>
      <w:r>
        <w:rPr>
          <w:b/>
          <w:bCs/>
          <w:color w:val="000000"/>
          <w:sz w:val="24"/>
          <w:szCs w:val="24"/>
        </w:rPr>
        <w:t>на выполнение проектно-изыскательских работ № ____</w:t>
      </w:r>
    </w:p>
    <w:p>
      <w:pPr>
        <w:pStyle w:val="Normal"/>
        <w:shd w:val="clear" w:color="auto" w:fill="FFFFFF"/>
        <w:spacing w:lineRule="auto" w:line="240"/>
        <w:ind w:hanging="0"/>
        <w:rPr>
          <w:b/>
          <w:bCs/>
          <w:color w:val="000000"/>
          <w:sz w:val="24"/>
          <w:szCs w:val="24"/>
        </w:rPr>
      </w:pPr>
      <w:r>
        <w:rPr>
          <w:b/>
          <w:bCs/>
          <w:color w:val="000000"/>
          <w:sz w:val="24"/>
          <w:szCs w:val="24"/>
        </w:rPr>
      </w:r>
    </w:p>
    <w:p>
      <w:pPr>
        <w:pStyle w:val="Normal"/>
        <w:shd w:val="clear" w:color="auto" w:fill="FFFFFF"/>
        <w:tabs>
          <w:tab w:val="clear" w:pos="708"/>
          <w:tab w:val="right" w:pos="993" w:leader="none"/>
        </w:tabs>
        <w:spacing w:lineRule="auto" w:line="240"/>
        <w:ind w:hanging="0"/>
        <w:rPr>
          <w:bCs/>
          <w:color w:val="000000"/>
          <w:sz w:val="24"/>
          <w:szCs w:val="24"/>
        </w:rPr>
      </w:pPr>
      <w:r>
        <w:rPr>
          <w:bCs/>
          <w:color w:val="000000"/>
          <w:sz w:val="24"/>
          <w:szCs w:val="24"/>
        </w:rPr>
        <w:t>г. _________</w:t>
        <w:tab/>
        <w:tab/>
        <w:tab/>
        <w:tab/>
        <w:tab/>
        <w:tab/>
        <w:tab/>
        <w:t xml:space="preserve">                        «___» _________ 20__ г.</w:t>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BodyText3"/>
        <w:ind w:firstLine="708"/>
        <w:rPr>
          <w:color w:val="auto"/>
        </w:rPr>
      </w:pPr>
      <w:r>
        <w:rPr>
          <w:b/>
          <w:color w:val="auto"/>
          <w:lang w:val="ru-RU"/>
        </w:rPr>
        <w:t>Акционерное общество «Дальневосточная распределительная сетевая компания»</w:t>
      </w:r>
      <w:r>
        <w:rPr>
          <w:b/>
          <w:color w:val="auto"/>
        </w:rPr>
        <w:t xml:space="preserve"> </w:t>
      </w:r>
      <w:r>
        <w:rPr>
          <w:color w:val="auto"/>
        </w:rPr>
        <w:t>(АО «</w:t>
      </w:r>
      <w:r>
        <w:rPr>
          <w:color w:val="auto"/>
          <w:lang w:val="ru-RU"/>
        </w:rPr>
        <w:t>ДРСК</w:t>
      </w:r>
      <w:r>
        <w:rPr>
          <w:color w:val="auto"/>
        </w:rPr>
        <w:t xml:space="preserve">») (далее – «Заказчик»), в лице _______________ действующего на основании ______________, с одной стороны, и </w:t>
      </w:r>
    </w:p>
    <w:p>
      <w:pPr>
        <w:pStyle w:val="BodyText3"/>
        <w:ind w:firstLine="708"/>
        <w:rPr>
          <w:color w:val="auto"/>
        </w:rPr>
      </w:pPr>
      <w:r>
        <w:rPr>
          <w:color w:val="auto"/>
        </w:rPr>
        <w:t xml:space="preserve">________________________ (далее – «Подрядчик»), в лице ________________, действующего на основании ______________, с другой стороны, </w:t>
      </w:r>
    </w:p>
    <w:p>
      <w:pPr>
        <w:pStyle w:val="BodyText3"/>
        <w:ind w:firstLine="708"/>
        <w:rPr>
          <w:bCs/>
          <w:color w:val="auto"/>
          <w:lang w:val="ru-RU"/>
        </w:rPr>
      </w:pPr>
      <w:r>
        <w:rPr>
          <w:color w:val="auto"/>
        </w:rPr>
        <w:t xml:space="preserve">совместно в дальнейшем именуемые «Стороны», а по отдельности – «Сторона», </w:t>
      </w:r>
      <w:r>
        <w:rPr>
          <w:color w:val="auto"/>
          <w:highlight w:val="lightGray"/>
        </w:rPr>
        <w:t xml:space="preserve">по </w:t>
      </w:r>
      <w:r>
        <w:rPr>
          <w:color w:val="000000"/>
        </w:rPr>
        <w:t xml:space="preserve">результатам проведенной Заказчиком конкурентной процедуры по лоту № </w:t>
      </w:r>
      <w:r>
        <w:rPr>
          <w:color w:val="000000"/>
          <w:u w:val="single"/>
        </w:rPr>
        <w:t>115301-ТПИР ОБСЛ-2024-ДРСК-ЕАО</w:t>
      </w:r>
      <w:r>
        <w:rPr>
          <w:bCs/>
          <w:color w:val="000000"/>
          <w:u w:val="single"/>
        </w:rPr>
        <w:t>,</w:t>
      </w:r>
      <w:r>
        <w:rPr/>
        <w:t xml:space="preserve"> </w:t>
      </w:r>
      <w:r>
        <w:rPr>
          <w:color w:val="000000"/>
          <w:lang w:val="ru-RU"/>
        </w:rPr>
        <w:t>и</w:t>
      </w:r>
      <w:r>
        <w:rPr>
          <w:lang w:val="ru-RU"/>
        </w:rPr>
        <w:t xml:space="preserve"> </w:t>
      </w:r>
      <w:r>
        <w:rPr>
          <w:bCs/>
          <w:color w:val="000000"/>
        </w:rPr>
        <w:t xml:space="preserve">на основании </w:t>
      </w:r>
      <w:r>
        <w:rPr>
          <w:bCs/>
          <w:color w:val="000000"/>
          <w:lang w:val="ru-RU"/>
        </w:rPr>
        <w:t>протокола</w:t>
      </w:r>
      <w:r>
        <w:rPr>
          <w:bCs/>
          <w:color w:val="000000"/>
        </w:rPr>
        <w:t xml:space="preserve"> </w:t>
      </w:r>
      <w:r>
        <w:rPr>
          <w:bCs/>
          <w:color w:val="000000"/>
          <w:lang w:val="ru-RU"/>
        </w:rPr>
        <w:t>__________</w:t>
      </w:r>
      <w:r>
        <w:rPr>
          <w:bCs/>
          <w:color w:val="000000"/>
        </w:rPr>
        <w:t xml:space="preserve"> №_______ от «___»__________ года</w:t>
      </w:r>
      <w:r>
        <w:rPr>
          <w:bCs/>
          <w:color w:val="000000"/>
          <w:lang w:val="ru-RU"/>
        </w:rPr>
        <w:t>,</w:t>
      </w:r>
    </w:p>
    <w:p>
      <w:pPr>
        <w:pStyle w:val="BodyText3"/>
        <w:ind w:firstLine="708"/>
        <w:rPr>
          <w:color w:val="auto"/>
          <w:lang w:val="ru-RU"/>
        </w:rPr>
      </w:pPr>
      <w:r>
        <w:rPr>
          <w:color w:val="auto"/>
        </w:rPr>
        <w:t>заключили настоящий договор (далее – «Договор») о нижеследующем:</w:t>
      </w:r>
    </w:p>
    <w:p>
      <w:pPr>
        <w:pStyle w:val="ListParagraph"/>
        <w:shd w:val="clear" w:color="auto" w:fill="FFFFFF"/>
        <w:tabs>
          <w:tab w:val="clear" w:pos="708"/>
          <w:tab w:val="left" w:pos="284" w:leader="none"/>
        </w:tabs>
        <w:ind w:left="0" w:hanging="0"/>
        <w:jc w:val="center"/>
        <w:rPr>
          <w:b/>
          <w:bCs/>
        </w:rPr>
      </w:pPr>
      <w:r>
        <w:rPr>
          <w:b/>
          <w:bCs/>
        </w:rPr>
      </w:r>
    </w:p>
    <w:p>
      <w:pPr>
        <w:pStyle w:val="ListParagraph"/>
        <w:shd w:val="clear" w:color="auto" w:fill="FFFFFF"/>
        <w:tabs>
          <w:tab w:val="clear" w:pos="708"/>
          <w:tab w:val="left" w:pos="284" w:leader="none"/>
        </w:tabs>
        <w:ind w:left="0" w:hanging="0"/>
        <w:jc w:val="center"/>
        <w:rPr>
          <w:b/>
          <w:bCs/>
        </w:rPr>
      </w:pPr>
      <w:r>
        <w:rPr>
          <w:b/>
          <w:bCs/>
        </w:rPr>
        <w:t>Термины и определения</w:t>
      </w:r>
    </w:p>
    <w:p>
      <w:pPr>
        <w:pStyle w:val="BodyText3"/>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widowControl w:val="false"/>
        <w:tabs>
          <w:tab w:val="clear" w:pos="708"/>
          <w:tab w:val="left" w:pos="567" w:leader="none"/>
          <w:tab w:val="left" w:pos="1134" w:leader="none"/>
        </w:tabs>
        <w:ind w:left="0" w:firstLine="708"/>
        <w:jc w:val="both"/>
        <w:textAlignment w:val="baseline"/>
        <w:rPr/>
      </w:pPr>
      <w:r>
        <w:rPr>
          <w:b/>
          <w:szCs w:val="26"/>
          <w:lang w:eastAsia="en-US"/>
        </w:rPr>
        <w:t xml:space="preserve">«Независимая гарантия» </w:t>
      </w:r>
      <w:r>
        <w:rPr>
          <w:szCs w:val="26"/>
          <w:lang w:eastAsia="en-US"/>
        </w:rPr>
        <w:t>– гарантия, предоставляемая МСП в обеспечение надлежащего исполнения Договора, заключенного по результатам конкурентной закупки товаров, работ, услуг в электронной форме только среди МСП, отвечающая требованиям, указанным в разделе 6 Договора.</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 xml:space="preserve"> </w:t>
      </w:r>
      <w:r>
        <w:rPr>
          <w:b/>
          <w:lang w:eastAsia="en-US"/>
        </w:rPr>
        <w:t xml:space="preserve">«ГПЗУ» </w:t>
      </w:r>
      <w:r>
        <w:rPr>
          <w:lang w:eastAsia="en-US"/>
        </w:rPr>
        <w:t>– градостроительный план земельного участка.</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Normal"/>
        <w:spacing w:lineRule="auto" w:line="240"/>
        <w:ind w:firstLine="709"/>
        <w:rPr>
          <w:sz w:val="24"/>
          <w:szCs w:val="24"/>
        </w:rPr>
      </w:pPr>
      <w:r>
        <w:rPr>
          <w:b/>
          <w:sz w:val="24"/>
          <w:szCs w:val="24"/>
        </w:rPr>
        <w:t>«Инженерные изыскания»</w:t>
      </w:r>
      <w:r>
        <w:rPr>
          <w:sz w:val="24"/>
          <w:szCs w:val="24"/>
        </w:rPr>
        <w:t xml:space="preserve"> – 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учетом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p>
    <w:p>
      <w:pPr>
        <w:pStyle w:val="Normal"/>
        <w:spacing w:lineRule="auto" w:line="240"/>
        <w:ind w:firstLine="709"/>
        <w:rPr>
          <w:sz w:val="24"/>
          <w:szCs w:val="24"/>
        </w:rPr>
      </w:pPr>
      <w:r>
        <w:rPr>
          <w:b/>
          <w:sz w:val="24"/>
          <w:szCs w:val="24"/>
        </w:rPr>
        <w:t xml:space="preserve">«Исполнительная смета» </w:t>
      </w:r>
      <w:r>
        <w:rPr>
          <w:sz w:val="24"/>
          <w:szCs w:val="24"/>
          <w:lang w:eastAsia="en-US"/>
        </w:rPr>
        <w:t>–</w:t>
      </w:r>
      <w:r>
        <w:rPr>
          <w:sz w:val="24"/>
          <w:szCs w:val="24"/>
        </w:rPr>
        <w:t xml:space="preserve"> с</w:t>
      </w:r>
      <w:r>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pPr>
        <w:pStyle w:val="ListParagraph"/>
        <w:widowControl w:val="false"/>
        <w:shd w:val="clear" w:color="auto" w:fill="FFFFFF"/>
        <w:tabs>
          <w:tab w:val="clear" w:pos="708"/>
          <w:tab w:val="left" w:pos="567" w:leader="none"/>
          <w:tab w:val="left" w:pos="1134" w:leader="none"/>
        </w:tabs>
        <w:ind w:left="0" w:firstLine="709"/>
        <w:jc w:val="both"/>
        <w:textAlignment w:val="baseline"/>
        <w:rPr>
          <w:lang w:eastAsia="en-US"/>
        </w:rPr>
      </w:pPr>
      <w:r>
        <w:rPr>
          <w:b/>
          <w:lang w:eastAsia="en-US"/>
        </w:rPr>
        <w:t>«Исходно-разрешительная документация»</w:t>
      </w:r>
      <w:r>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и / или Рабочей документации. </w:t>
      </w:r>
    </w:p>
    <w:p>
      <w:pPr>
        <w:pStyle w:val="Normal"/>
        <w:widowControl w:val="false"/>
        <w:shd w:val="clear" w:color="auto" w:fill="FFFFFF"/>
        <w:tabs>
          <w:tab w:val="clear" w:pos="708"/>
          <w:tab w:val="left" w:pos="567" w:leader="none"/>
          <w:tab w:val="left" w:pos="1134" w:leader="none"/>
        </w:tabs>
        <w:spacing w:lineRule="auto" w:line="240"/>
        <w:ind w:firstLine="709"/>
        <w:textAlignment w:val="baseline"/>
        <w:rPr>
          <w:sz w:val="24"/>
          <w:szCs w:val="24"/>
          <w:lang w:eastAsia="en-US"/>
        </w:rPr>
      </w:pPr>
      <w:r>
        <w:rPr>
          <w:sz w:val="24"/>
          <w:szCs w:val="24"/>
          <w:lang w:eastAsia="en-US"/>
        </w:rPr>
        <w:t>К Исходно-разрешительной документации относятся:</w:t>
      </w:r>
    </w:p>
    <w:p>
      <w:pPr>
        <w:pStyle w:val="ListParagraph"/>
        <w:widowControl w:val="false"/>
        <w:numPr>
          <w:ilvl w:val="0"/>
          <w:numId w:val="20"/>
        </w:numPr>
        <w:shd w:val="clear" w:color="auto" w:fill="FFFFFF"/>
        <w:tabs>
          <w:tab w:val="clear" w:pos="708"/>
          <w:tab w:val="left" w:pos="567" w:leader="none"/>
          <w:tab w:val="left" w:pos="1134" w:leader="none"/>
        </w:tabs>
        <w:ind w:left="0" w:firstLine="709"/>
        <w:jc w:val="both"/>
        <w:textAlignment w:val="baseline"/>
        <w:rPr>
          <w:lang w:eastAsia="en-US"/>
        </w:rPr>
      </w:pPr>
      <w:r>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pPr>
        <w:pStyle w:val="ListParagraph"/>
        <w:widowControl w:val="false"/>
        <w:numPr>
          <w:ilvl w:val="0"/>
          <w:numId w:val="20"/>
        </w:numPr>
        <w:shd w:val="clear" w:color="auto" w:fill="FFFFFF"/>
        <w:tabs>
          <w:tab w:val="clear" w:pos="708"/>
          <w:tab w:val="left" w:pos="567" w:leader="none"/>
          <w:tab w:val="left" w:pos="1134" w:leader="none"/>
        </w:tabs>
        <w:ind w:left="0" w:firstLine="709"/>
        <w:jc w:val="both"/>
        <w:textAlignment w:val="baseline"/>
        <w:rPr>
          <w:lang w:eastAsia="en-US"/>
        </w:rPr>
      </w:pPr>
      <w:r>
        <w:rPr>
          <w:lang w:eastAsia="en-US"/>
        </w:rPr>
        <w:t>технические условия на подключение к инженерным сетям и / или коммуникациям;</w:t>
      </w:r>
    </w:p>
    <w:p>
      <w:pPr>
        <w:pStyle w:val="ListParagraph"/>
        <w:widowControl w:val="false"/>
        <w:numPr>
          <w:ilvl w:val="0"/>
          <w:numId w:val="20"/>
        </w:numPr>
        <w:shd w:val="clear" w:color="auto" w:fill="FFFFFF"/>
        <w:tabs>
          <w:tab w:val="clear" w:pos="708"/>
          <w:tab w:val="left" w:pos="567" w:leader="none"/>
          <w:tab w:val="left" w:pos="1134" w:leader="none"/>
        </w:tabs>
        <w:ind w:left="0" w:firstLine="709"/>
        <w:jc w:val="both"/>
        <w:textAlignment w:val="baseline"/>
        <w:rPr>
          <w:lang w:eastAsia="en-US"/>
        </w:rPr>
      </w:pPr>
      <w:r>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pPr>
        <w:pStyle w:val="ListParagraph"/>
        <w:widowControl w:val="false"/>
        <w:numPr>
          <w:ilvl w:val="0"/>
          <w:numId w:val="20"/>
        </w:numPr>
        <w:shd w:val="clear" w:color="auto" w:fill="FFFFFF"/>
        <w:tabs>
          <w:tab w:val="clear" w:pos="708"/>
          <w:tab w:val="left" w:pos="567" w:leader="none"/>
          <w:tab w:val="left" w:pos="1134" w:leader="none"/>
        </w:tabs>
        <w:ind w:left="0" w:firstLine="709"/>
        <w:jc w:val="both"/>
        <w:textAlignment w:val="baseline"/>
        <w:rPr>
          <w:lang w:eastAsia="en-US"/>
        </w:rPr>
      </w:pPr>
      <w:r>
        <w:rPr>
          <w:lang w:eastAsia="en-US"/>
        </w:rPr>
        <w:t>разрешительные и / или распорядительные документы;</w:t>
      </w:r>
    </w:p>
    <w:p>
      <w:pPr>
        <w:pStyle w:val="ListParagraph"/>
        <w:widowControl w:val="false"/>
        <w:numPr>
          <w:ilvl w:val="0"/>
          <w:numId w:val="20"/>
        </w:numPr>
        <w:shd w:val="clear" w:color="auto" w:fill="FFFFFF"/>
        <w:tabs>
          <w:tab w:val="clear" w:pos="708"/>
          <w:tab w:val="left" w:pos="567" w:leader="none"/>
          <w:tab w:val="left" w:pos="1134" w:leader="none"/>
        </w:tabs>
        <w:ind w:left="0" w:firstLine="709"/>
        <w:jc w:val="both"/>
        <w:textAlignment w:val="baseline"/>
        <w:rPr>
          <w:lang w:eastAsia="en-US"/>
        </w:rPr>
      </w:pPr>
      <w:r>
        <w:rPr>
          <w:lang w:eastAsia="en-US"/>
        </w:rPr>
        <w:t>справки, заключения, согласования.</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w:t>
        <w:br/>
        <w:t xml:space="preserve">и затраты, предназначенный для возмещения стоимости работ и затрат, потребность </w:t>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tabs>
          <w:tab w:val="clear" w:pos="708"/>
          <w:tab w:val="left" w:pos="567" w:leader="none"/>
          <w:tab w:val="left" w:pos="1134" w:leader="none"/>
        </w:tabs>
        <w:ind w:left="0" w:firstLine="708"/>
        <w:jc w:val="both"/>
        <w:textAlignment w:val="baseline"/>
        <w:rPr/>
      </w:pPr>
      <w:r>
        <w:rPr>
          <w:b/>
          <w:color w:val="000000"/>
          <w:lang w:eastAsia="en-US"/>
        </w:rPr>
        <w:t>«Материально-технические ресурсы и оборудование»</w:t>
      </w:r>
      <w:r>
        <w:rPr>
          <w:color w:val="000000"/>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Pr>
          <w:b/>
          <w:color w:val="000000"/>
          <w:lang w:eastAsia="en-US"/>
        </w:rPr>
        <w:t xml:space="preserve"> </w:t>
      </w:r>
    </w:p>
    <w:p>
      <w:pPr>
        <w:pStyle w:val="ListParagraph"/>
        <w:widowControl w:val="false"/>
        <w:tabs>
          <w:tab w:val="clear" w:pos="708"/>
          <w:tab w:val="left" w:pos="567" w:leader="none"/>
          <w:tab w:val="left" w:pos="1134" w:leader="none"/>
        </w:tabs>
        <w:ind w:left="0" w:firstLine="708"/>
        <w:jc w:val="both"/>
        <w:textAlignment w:val="baseline"/>
        <w:rPr/>
      </w:pPr>
      <w:r>
        <w:rPr>
          <w:b/>
          <w:color w:val="000000"/>
          <w:lang w:eastAsia="en-US"/>
        </w:rPr>
        <w:t xml:space="preserve">«Обеспечительный платеж» </w:t>
      </w:r>
      <w:r>
        <w:rPr>
          <w:color w:val="000000"/>
          <w:lang w:eastAsia="en-US"/>
        </w:rPr>
        <w:t xml:space="preserve">– платеж в размере 5 % (пять процентов) от </w:t>
      </w:r>
      <w:r>
        <w:rPr>
          <w:color w:val="000000"/>
        </w:rPr>
        <w:t>стоимости каждого Этапа Работ,</w:t>
      </w:r>
      <w:r>
        <w:rPr>
          <w:color w:val="000000"/>
          <w:lang w:eastAsia="en-US"/>
        </w:rPr>
        <w:t xml:space="preserve"> который удерживается Заказчиком в качестве гарантийного резервирования в соответствии с условиями Договора.</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Normal"/>
        <w:spacing w:lineRule="auto" w:line="240"/>
        <w:ind w:firstLine="709"/>
        <w:rPr/>
      </w:pPr>
      <w:r>
        <w:rPr>
          <w:b/>
          <w:sz w:val="24"/>
          <w:szCs w:val="24"/>
        </w:rPr>
        <w:t>«Организация по проведению государственной экспертизы»</w:t>
      </w:r>
      <w:r>
        <w:rPr>
          <w:sz w:val="24"/>
          <w:szCs w:val="24"/>
        </w:rPr>
        <w:t xml:space="preserve"> </w:t>
      </w:r>
      <w:r>
        <w:rPr>
          <w:sz w:val="24"/>
          <w:szCs w:val="24"/>
          <w:lang w:eastAsia="en-US"/>
        </w:rPr>
        <w:t>–</w:t>
      </w:r>
      <w:r>
        <w:rPr>
          <w:sz w:val="24"/>
          <w:szCs w:val="24"/>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pPr>
        <w:pStyle w:val="Normal"/>
        <w:spacing w:lineRule="auto" w:line="240"/>
        <w:ind w:firstLine="709"/>
        <w:rPr/>
      </w:pPr>
      <w:r>
        <w:rPr>
          <w:sz w:val="24"/>
          <w:szCs w:val="24"/>
        </w:rPr>
        <w:t xml:space="preserve">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 </w:t>
      </w:r>
    </w:p>
    <w:p>
      <w:pPr>
        <w:pStyle w:val="Normal"/>
        <w:spacing w:lineRule="auto" w:line="240"/>
        <w:ind w:firstLine="709"/>
        <w:rPr>
          <w:sz w:val="24"/>
          <w:szCs w:val="24"/>
        </w:rPr>
      </w:pPr>
      <w:r>
        <w:rPr>
          <w:b/>
          <w:sz w:val="24"/>
          <w:szCs w:val="24"/>
        </w:rPr>
        <w:t>«Предварительная смета»</w:t>
      </w:r>
      <w:r>
        <w:rPr>
          <w:sz w:val="24"/>
          <w:szCs w:val="24"/>
        </w:rPr>
        <w:t xml:space="preserve"> </w:t>
      </w:r>
      <w:r>
        <w:rPr>
          <w:sz w:val="24"/>
          <w:szCs w:val="24"/>
          <w:lang w:eastAsia="en-US"/>
        </w:rPr>
        <w:t>–</w:t>
      </w:r>
      <w:r>
        <w:rPr>
          <w:sz w:val="24"/>
          <w:szCs w:val="24"/>
        </w:rPr>
        <w:t xml:space="preserve"> </w:t>
      </w:r>
      <w:r>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Pr/>
        <w:t xml:space="preserve"> </w:t>
      </w:r>
      <w:r>
        <w:rPr>
          <w:color w:val="000000"/>
          <w:sz w:val="24"/>
          <w:szCs w:val="24"/>
        </w:rPr>
        <w:t>и подлежащий корректировке в соответствии с фактически выполненными объемами работ.</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«Проектная документация»</w:t>
      </w:r>
      <w:r>
        <w:rPr>
          <w:b w:val="false"/>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b w:val="false"/>
          <w:sz w:val="24"/>
          <w:szCs w:val="24"/>
          <w:lang w:val="ru-RU" w:eastAsia="en-US"/>
        </w:rPr>
        <w:t xml:space="preserve">Состав разделов Проектной документации определяется Применимым правом.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b w:val="false"/>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pPr>
        <w:pStyle w:val="Heading3"/>
        <w:keepNext w:val="false"/>
        <w:widowControl w:val="false"/>
        <w:tabs>
          <w:tab w:val="clear" w:pos="708"/>
          <w:tab w:val="left" w:pos="567" w:leader="none"/>
        </w:tabs>
        <w:spacing w:before="0" w:after="0"/>
        <w:ind w:firstLine="708"/>
        <w:jc w:val="both"/>
        <w:textAlignment w:val="baseline"/>
        <w:rPr>
          <w:sz w:val="24"/>
          <w:szCs w:val="24"/>
          <w:lang w:eastAsia="ru-RU"/>
        </w:rPr>
      </w:pPr>
      <w:r>
        <w:rPr>
          <w:sz w:val="24"/>
          <w:szCs w:val="24"/>
          <w:lang w:val="ru-RU" w:eastAsia="en-US"/>
        </w:rPr>
        <w:t>«Работы»</w:t>
      </w:r>
      <w:r>
        <w:rPr>
          <w:b w:val="false"/>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в </w:t>
      </w:r>
      <w:r>
        <w:rPr>
          <w:b w:val="false"/>
          <w:sz w:val="24"/>
          <w:szCs w:val="24"/>
          <w:lang w:val="ru-RU" w:eastAsia="ru-RU"/>
        </w:rPr>
        <w:t>Результате</w:t>
      </w:r>
      <w:r>
        <w:rPr>
          <w:b w:val="false"/>
          <w:sz w:val="24"/>
          <w:szCs w:val="24"/>
          <w:lang w:eastAsia="ru-RU"/>
        </w:rPr>
        <w:t xml:space="preserve"> </w:t>
      </w:r>
      <w:r>
        <w:rPr>
          <w:b w:val="false"/>
          <w:sz w:val="24"/>
          <w:szCs w:val="24"/>
          <w:lang w:val="ru-RU" w:eastAsia="ru-RU"/>
        </w:rPr>
        <w:t>Работ</w:t>
      </w:r>
      <w:r>
        <w:rPr>
          <w:b w:val="false"/>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8"/>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pPr>
      <w:r>
        <w:rPr>
          <w:b/>
          <w:sz w:val="24"/>
          <w:szCs w:val="24"/>
          <w:lang w:eastAsia="en-US"/>
        </w:rPr>
        <w:t xml:space="preserve">«Рабочая документация» – </w:t>
      </w:r>
      <w:r>
        <w:rPr>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pPr>
        <w:pStyle w:val="ListParagraph"/>
        <w:widowControl w:val="false"/>
        <w:numPr>
          <w:ilvl w:val="0"/>
          <w:numId w:val="7"/>
        </w:numPr>
        <w:shd w:val="clear" w:color="auto" w:fill="FFFFFF"/>
        <w:tabs>
          <w:tab w:val="clear" w:pos="708"/>
          <w:tab w:val="left" w:pos="567" w:leader="none"/>
          <w:tab w:val="left" w:pos="1134" w:leader="none"/>
        </w:tabs>
        <w:ind w:left="0" w:firstLine="708"/>
        <w:jc w:val="both"/>
        <w:textAlignment w:val="baseline"/>
        <w:rPr/>
      </w:pPr>
      <w:r>
        <w:rPr>
          <w:lang w:eastAsia="en-US"/>
        </w:rPr>
        <w:t>рабочие чертежи основного комплекта, спецификации оборудования и изделий;</w:t>
      </w:r>
    </w:p>
    <w:p>
      <w:pPr>
        <w:pStyle w:val="ListParagraph"/>
        <w:widowControl w:val="false"/>
        <w:numPr>
          <w:ilvl w:val="0"/>
          <w:numId w:val="7"/>
        </w:numPr>
        <w:shd w:val="clear" w:color="auto" w:fill="FFFFFF"/>
        <w:tabs>
          <w:tab w:val="clear" w:pos="708"/>
          <w:tab w:val="left" w:pos="567" w:leader="none"/>
          <w:tab w:val="left" w:pos="1134" w:leader="none"/>
        </w:tabs>
        <w:ind w:left="0" w:firstLine="708"/>
        <w:jc w:val="both"/>
        <w:textAlignment w:val="baseline"/>
        <w:rPr/>
      </w:pPr>
      <w:r>
        <w:rPr>
          <w:lang w:eastAsia="en-US"/>
        </w:rPr>
        <w:t>документы, разработанные в дополнение к рабочим чертежам основного комплекта;</w:t>
      </w:r>
    </w:p>
    <w:p>
      <w:pPr>
        <w:pStyle w:val="ListParagraph"/>
        <w:widowControl w:val="false"/>
        <w:numPr>
          <w:ilvl w:val="0"/>
          <w:numId w:val="7"/>
        </w:numPr>
        <w:shd w:val="clear" w:color="auto" w:fill="FFFFFF"/>
        <w:tabs>
          <w:tab w:val="clear" w:pos="708"/>
          <w:tab w:val="left" w:pos="567" w:leader="none"/>
          <w:tab w:val="left" w:pos="1134" w:leader="none"/>
        </w:tabs>
        <w:ind w:left="0" w:firstLine="708"/>
        <w:jc w:val="both"/>
        <w:textAlignment w:val="baseline"/>
        <w:rPr/>
      </w:pPr>
      <w:r>
        <w:rPr>
          <w:lang w:eastAsia="en-US"/>
        </w:rPr>
        <w:t>сметную документацию.</w:t>
      </w:r>
    </w:p>
    <w:p>
      <w:pPr>
        <w:pStyle w:val="Normal"/>
        <w:widowControl w:val="false"/>
        <w:tabs>
          <w:tab w:val="clear" w:pos="708"/>
          <w:tab w:val="left" w:pos="567" w:leader="none"/>
        </w:tabs>
        <w:spacing w:lineRule="auto" w:line="240"/>
        <w:ind w:firstLine="708"/>
        <w:rPr>
          <w:sz w:val="24"/>
          <w:szCs w:val="24"/>
        </w:rPr>
      </w:pPr>
      <w:r>
        <w:rPr>
          <w:b/>
          <w:sz w:val="24"/>
          <w:szCs w:val="24"/>
        </w:rPr>
        <w:t>«Рабочий день»</w:t>
      </w:r>
      <w:r>
        <w:rPr>
          <w:sz w:val="24"/>
          <w:szCs w:val="24"/>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изысканий</w:t>
      </w:r>
      <w:r>
        <w:rPr>
          <w:b w:val="false"/>
          <w:color w:val="000000"/>
          <w:sz w:val="24"/>
          <w:szCs w:val="24"/>
          <w:lang w:val="ru-RU" w:eastAsia="en-US"/>
        </w:rPr>
        <w:t xml:space="preserve">, и  Рабочая документация </w:t>
      </w:r>
      <w:r>
        <w:rPr>
          <w:b w:val="false"/>
          <w:sz w:val="24"/>
          <w:szCs w:val="24"/>
          <w:lang w:val="ru-RU" w:eastAsia="en-US"/>
        </w:rPr>
        <w:t>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pPr>
        <w:pStyle w:val="Normal"/>
        <w:spacing w:lineRule="auto" w:line="240"/>
        <w:ind w:firstLine="709"/>
        <w:rPr>
          <w:sz w:val="24"/>
          <w:szCs w:val="24"/>
          <w:lang w:eastAsia="en-US"/>
        </w:rPr>
      </w:pPr>
      <w:r>
        <w:rPr>
          <w:b/>
          <w:sz w:val="24"/>
          <w:szCs w:val="24"/>
          <w:lang w:eastAsia="en-US"/>
        </w:rPr>
        <w:t>«Результат Инженерных изысканий»</w:t>
      </w:r>
      <w:r>
        <w:rPr>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«Смета»</w:t>
      </w:r>
      <w:r>
        <w:rPr>
          <w:b w:val="false"/>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pPr>
        <w:pStyle w:val="Heading3"/>
        <w:keepNext w:val="false"/>
        <w:widowControl w:val="false"/>
        <w:tabs>
          <w:tab w:val="clear" w:pos="708"/>
          <w:tab w:val="left" w:pos="567" w:leader="none"/>
        </w:tabs>
        <w:spacing w:before="0" w:after="0"/>
        <w:ind w:firstLine="708"/>
        <w:jc w:val="both"/>
        <w:textAlignment w:val="baseline"/>
        <w:rPr>
          <w:sz w:val="24"/>
          <w:szCs w:val="24"/>
          <w:lang w:eastAsia="en-US"/>
        </w:rPr>
      </w:pPr>
      <w:r>
        <w:rPr>
          <w:sz w:val="24"/>
          <w:szCs w:val="24"/>
          <w:lang w:val="ru-RU" w:eastAsia="en-US"/>
        </w:rPr>
        <w:t>«Сводная смета»</w:t>
      </w:r>
      <w:r>
        <w:rPr>
          <w:b w:val="false"/>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pPr>
        <w:pStyle w:val="Normal"/>
        <w:spacing w:lineRule="auto" w:line="240"/>
        <w:ind w:firstLine="709"/>
        <w:rPr/>
      </w:pPr>
      <w:r>
        <w:rPr>
          <w:b/>
          <w:sz w:val="24"/>
          <w:szCs w:val="24"/>
          <w:lang w:eastAsia="en-US"/>
        </w:rPr>
        <w:t>«Субъект МСП»</w:t>
      </w:r>
      <w:r>
        <w:rPr>
          <w:sz w:val="24"/>
          <w:szCs w:val="24"/>
          <w:lang w:eastAsia="en-US"/>
        </w:rPr>
        <w:t xml:space="preserve"> – субъект малого и среднего предпринимательства.</w:t>
      </w:r>
    </w:p>
    <w:p>
      <w:pPr>
        <w:pStyle w:val="Heading3"/>
        <w:keepNext w:val="false"/>
        <w:widowControl w:val="false"/>
        <w:tabs>
          <w:tab w:val="clear" w:pos="708"/>
          <w:tab w:val="left" w:pos="567" w:leader="none"/>
        </w:tabs>
        <w:spacing w:before="0" w:after="0"/>
        <w:ind w:firstLine="708"/>
        <w:jc w:val="both"/>
        <w:textAlignment w:val="baseline"/>
        <w:rPr/>
      </w:pPr>
      <w:r>
        <w:rPr>
          <w:sz w:val="24"/>
          <w:szCs w:val="24"/>
          <w:lang w:val="ru-RU" w:eastAsia="en-US"/>
        </w:rPr>
        <w:t xml:space="preserve"> </w:t>
      </w: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«Техническое задание»</w:t>
      </w:r>
      <w:r>
        <w:rPr>
          <w:b w:val="false"/>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«Цена Договора»</w:t>
      </w:r>
      <w:r>
        <w:rPr>
          <w:b w:val="false"/>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«Этап Работ»</w:t>
      </w:r>
      <w:r>
        <w:rPr>
          <w:b w:val="false"/>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pPr>
        <w:pStyle w:val="Heading3"/>
        <w:keepNext w:val="false"/>
        <w:widowControl w:val="false"/>
        <w:tabs>
          <w:tab w:val="clear" w:pos="708"/>
          <w:tab w:val="left" w:pos="567" w:leader="none"/>
        </w:tabs>
        <w:spacing w:before="0" w:after="0"/>
        <w:ind w:firstLine="708"/>
        <w:jc w:val="both"/>
        <w:textAlignment w:val="baseline"/>
        <w:rPr>
          <w:bCs/>
          <w:sz w:val="24"/>
          <w:szCs w:val="24"/>
        </w:rPr>
      </w:pPr>
      <w:r>
        <w:rPr>
          <w:b w:val="false"/>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false"/>
          <w:sz w:val="24"/>
          <w:szCs w:val="24"/>
        </w:rPr>
        <w:t xml:space="preserve">. </w:t>
      </w:r>
      <w:r>
        <w:rPr>
          <w:bCs/>
          <w:sz w:val="24"/>
          <w:szCs w:val="24"/>
        </w:rPr>
        <w:t xml:space="preserve"> </w:t>
      </w:r>
    </w:p>
    <w:p>
      <w:pPr>
        <w:pStyle w:val="Normal"/>
        <w:spacing w:lineRule="auto" w:line="240"/>
        <w:rPr/>
      </w:pPr>
      <w:r>
        <w:rPr/>
      </w:r>
    </w:p>
    <w:p>
      <w:pPr>
        <w:pStyle w:val="ListParagraph"/>
        <w:numPr>
          <w:ilvl w:val="0"/>
          <w:numId w:val="4"/>
        </w:numPr>
        <w:shd w:val="clear" w:color="auto" w:fill="FFFFFF"/>
        <w:tabs>
          <w:tab w:val="clear" w:pos="708"/>
          <w:tab w:val="left" w:pos="284" w:leader="none"/>
        </w:tabs>
        <w:ind w:left="0" w:hanging="0"/>
        <w:jc w:val="center"/>
        <w:rPr>
          <w:b/>
          <w:bCs/>
        </w:rPr>
      </w:pPr>
      <w:r>
        <w:rPr>
          <w:b/>
          <w:bCs/>
        </w:rPr>
        <w:t>Предмет Договора</w:t>
      </w:r>
    </w:p>
    <w:p>
      <w:pPr>
        <w:pStyle w:val="ListParagraph"/>
        <w:numPr>
          <w:ilvl w:val="1"/>
          <w:numId w:val="4"/>
        </w:numPr>
        <w:shd w:val="clear" w:color="auto" w:fill="FFFFFF"/>
        <w:tabs>
          <w:tab w:val="clear" w:pos="708"/>
          <w:tab w:val="left" w:pos="1134" w:leader="none"/>
        </w:tabs>
        <w:ind w:left="0" w:firstLine="709"/>
        <w:jc w:val="both"/>
        <w:rPr>
          <w:bCs/>
        </w:rPr>
      </w:pPr>
      <w:bookmarkStart w:id="0" w:name="_Ref361410951"/>
      <w:r>
        <w:rPr>
          <w:bCs/>
        </w:rPr>
        <w:t xml:space="preserve">Подрядчик обязуется по заданию Заказчика в соответствии с Техническим заданием (Приложение № 1 к Договору) выполнить работы по  </w:t>
      </w:r>
      <w:r>
        <w:rPr>
          <w:b/>
          <w:bCs/>
          <w:u w:val="single"/>
        </w:rPr>
        <w:t>«ОКПД2 71.12.13. Выполнение проектных работ по объекту: Реконструкция  КЛ 6 кВ г. Биробиджан - 18,36 км, в рамках выполнения инвестиционного проекта  (М_79-ЕАО-2432)»</w:t>
      </w:r>
      <w:r>
        <w:rPr>
          <w:bCs/>
        </w:rPr>
        <w:t>(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pPr>
        <w:pStyle w:val="ListParagraph"/>
        <w:numPr>
          <w:ilvl w:val="1"/>
          <w:numId w:val="4"/>
        </w:numPr>
        <w:shd w:val="clear" w:color="auto" w:fill="FFFFFF"/>
        <w:tabs>
          <w:tab w:val="clear" w:pos="708"/>
          <w:tab w:val="left" w:pos="1134" w:leader="none"/>
        </w:tabs>
        <w:ind w:left="0" w:firstLine="709"/>
        <w:jc w:val="both"/>
        <w:rPr>
          <w:bCs/>
        </w:rPr>
      </w:pPr>
      <w:r>
        <w:rPr>
          <w:bCs/>
        </w:rPr>
        <w:t>В состав Работ по Договору входят:</w:t>
      </w:r>
    </w:p>
    <w:p>
      <w:pPr>
        <w:pStyle w:val="ListParagraph"/>
        <w:numPr>
          <w:ilvl w:val="2"/>
          <w:numId w:val="4"/>
        </w:numPr>
        <w:shd w:val="clear" w:color="auto" w:fill="FFFFFF"/>
        <w:tabs>
          <w:tab w:val="clear" w:pos="708"/>
          <w:tab w:val="left" w:pos="1418" w:leader="none"/>
        </w:tabs>
        <w:ind w:left="0" w:firstLine="710"/>
        <w:jc w:val="both"/>
        <w:rPr/>
      </w:pPr>
      <w:r>
        <w:rPr>
          <w:bCs/>
        </w:rPr>
        <w:t>Выполнение Инженерных изысканий;</w:t>
      </w:r>
    </w:p>
    <w:p>
      <w:pPr>
        <w:pStyle w:val="ListParagraph"/>
        <w:numPr>
          <w:ilvl w:val="2"/>
          <w:numId w:val="4"/>
        </w:numPr>
        <w:shd w:val="clear" w:color="auto" w:fill="FFFFFF"/>
        <w:tabs>
          <w:tab w:val="clear" w:pos="708"/>
          <w:tab w:val="left" w:pos="1418" w:leader="none"/>
        </w:tabs>
        <w:ind w:left="0" w:firstLine="709"/>
        <w:jc w:val="both"/>
        <w:rPr/>
      </w:pPr>
      <w:r>
        <w:rPr>
          <w:bCs/>
        </w:rPr>
        <w:t>Получение и оформление Исходно-разрешительной документации;</w:t>
      </w:r>
    </w:p>
    <w:p>
      <w:pPr>
        <w:pStyle w:val="ListParagraph"/>
        <w:numPr>
          <w:ilvl w:val="2"/>
          <w:numId w:val="4"/>
        </w:numPr>
        <w:shd w:val="clear" w:color="auto" w:fill="FFFFFF"/>
        <w:tabs>
          <w:tab w:val="clear" w:pos="708"/>
          <w:tab w:val="left" w:pos="1418" w:leader="none"/>
        </w:tabs>
        <w:ind w:left="0" w:firstLine="709"/>
        <w:jc w:val="both"/>
        <w:rPr/>
      </w:pPr>
      <w:r>
        <w:rPr>
          <w:bCs/>
        </w:rPr>
        <w:t>Разработка Проектной документации</w:t>
      </w:r>
      <w:r>
        <w:rPr>
          <w:lang w:val="en-US"/>
        </w:rPr>
        <w:t>;</w:t>
      </w:r>
    </w:p>
    <w:p>
      <w:pPr>
        <w:pStyle w:val="ListParagraph"/>
        <w:numPr>
          <w:ilvl w:val="2"/>
          <w:numId w:val="4"/>
        </w:numPr>
        <w:shd w:val="clear" w:color="auto" w:fill="FFFFFF"/>
        <w:tabs>
          <w:tab w:val="clear" w:pos="708"/>
          <w:tab w:val="left" w:pos="1418" w:leader="none"/>
        </w:tabs>
        <w:ind w:left="0" w:firstLine="710"/>
        <w:jc w:val="both"/>
        <w:rPr/>
      </w:pPr>
      <w:r>
        <w:rPr>
          <w:bCs/>
        </w:rPr>
        <w:t>Разработка Рабочей документации</w:t>
      </w:r>
      <w:r>
        <w:rPr>
          <w:lang w:eastAsia="en-US"/>
        </w:rPr>
        <w:t>.</w:t>
      </w:r>
    </w:p>
    <w:p>
      <w:pPr>
        <w:pStyle w:val="ListParagraph"/>
        <w:numPr>
          <w:ilvl w:val="1"/>
          <w:numId w:val="4"/>
        </w:numPr>
        <w:shd w:val="clear" w:color="auto" w:fill="FFFFFF"/>
        <w:tabs>
          <w:tab w:val="clear" w:pos="708"/>
          <w:tab w:val="left" w:pos="1134" w:leader="none"/>
        </w:tabs>
        <w:ind w:left="0" w:firstLine="709"/>
        <w:jc w:val="both"/>
        <w:rPr>
          <w:bCs/>
        </w:rPr>
      </w:pPr>
      <w:r>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Работы по Договору выполняются для нужд </w:t>
      </w:r>
      <w:r>
        <w:rPr>
          <w:bCs/>
          <w:u w:val="single"/>
        </w:rPr>
        <w:t>филиала АО «ДРСК «ЭС ЕАО»</w:t>
      </w:r>
      <w:r>
        <w:rPr>
          <w:bCs/>
        </w:rPr>
        <w:t xml:space="preserve"> </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Место выполнения Работ (в части Инженерных изысканий): </w:t>
      </w:r>
      <w:r>
        <w:rPr>
          <w:bCs/>
          <w:u w:val="single"/>
        </w:rPr>
        <w:t>Еврейская АО, г.Биробиджан;</w:t>
      </w:r>
    </w:p>
    <w:p>
      <w:pPr>
        <w:pStyle w:val="ListParagraph"/>
        <w:numPr>
          <w:ilvl w:val="1"/>
          <w:numId w:val="4"/>
        </w:numPr>
        <w:shd w:val="clear" w:color="auto" w:fill="FFFFFF"/>
        <w:tabs>
          <w:tab w:val="clear" w:pos="708"/>
          <w:tab w:val="left" w:pos="1134" w:leader="none"/>
        </w:tabs>
        <w:ind w:left="0" w:firstLine="709"/>
        <w:jc w:val="both"/>
        <w:rPr>
          <w:bCs/>
        </w:rPr>
      </w:pPr>
      <w:bookmarkStart w:id="1" w:name="_Ref361320424"/>
      <w:r>
        <w:rPr>
          <w:bCs/>
        </w:rPr>
        <w:t>Работы выполняются Подрядчиком в следующие сроки:</w:t>
      </w:r>
      <w:bookmarkEnd w:id="1"/>
    </w:p>
    <w:p>
      <w:pPr>
        <w:pStyle w:val="ListParagraph"/>
        <w:numPr>
          <w:ilvl w:val="2"/>
          <w:numId w:val="4"/>
        </w:numPr>
        <w:shd w:val="clear" w:color="auto" w:fill="FFFFFF"/>
        <w:tabs>
          <w:tab w:val="clear" w:pos="708"/>
          <w:tab w:val="left" w:pos="1418" w:leader="none"/>
        </w:tabs>
        <w:ind w:left="0" w:firstLine="709"/>
        <w:jc w:val="both"/>
        <w:rPr/>
      </w:pPr>
      <w:r>
        <w:rPr>
          <w:bCs/>
        </w:rPr>
        <w:t xml:space="preserve">начало выполнения Работ: </w:t>
      </w:r>
      <w:r>
        <w:rPr/>
        <w:t>с даты, следующей за датой заключения Договора;</w:t>
      </w:r>
    </w:p>
    <w:p>
      <w:pPr>
        <w:pStyle w:val="ListParagraph"/>
        <w:numPr>
          <w:ilvl w:val="2"/>
          <w:numId w:val="4"/>
        </w:numPr>
        <w:shd w:val="clear" w:color="auto" w:fill="FFFFFF"/>
        <w:tabs>
          <w:tab w:val="clear" w:pos="708"/>
          <w:tab w:val="left" w:pos="1418" w:leader="none"/>
        </w:tabs>
        <w:ind w:left="0" w:firstLine="709"/>
        <w:jc w:val="both"/>
        <w:rPr/>
      </w:pPr>
      <w:r>
        <w:rPr>
          <w:bCs/>
        </w:rPr>
        <w:t xml:space="preserve">окончание выполнения Работ: </w:t>
      </w:r>
      <w:r>
        <w:rPr/>
        <w:t xml:space="preserve">«25»  </w:t>
      </w:r>
      <w:r>
        <w:rPr>
          <w:u w:val="single"/>
        </w:rPr>
        <w:t>октября</w:t>
      </w:r>
      <w:r>
        <w:rPr/>
        <w:t xml:space="preserve">  20</w:t>
      </w:r>
      <w:r>
        <w:rPr>
          <w:u w:val="single"/>
        </w:rPr>
        <w:t xml:space="preserve">24 </w:t>
      </w:r>
      <w:r>
        <w:rPr/>
        <w:t xml:space="preserve">г. </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pPr>
        <w:pStyle w:val="Normal"/>
        <w:widowControl w:val="false"/>
        <w:shd w:val="clear" w:color="auto" w:fill="FFFFFF"/>
        <w:spacing w:lineRule="auto" w:line="240"/>
        <w:ind w:left="567" w:hanging="0"/>
        <w:rPr>
          <w:sz w:val="24"/>
          <w:szCs w:val="24"/>
        </w:rPr>
      </w:pPr>
      <w:r>
        <w:rPr>
          <w:sz w:val="24"/>
          <w:szCs w:val="24"/>
        </w:rPr>
      </w:r>
    </w:p>
    <w:p>
      <w:pPr>
        <w:pStyle w:val="ListParagraph"/>
        <w:numPr>
          <w:ilvl w:val="0"/>
          <w:numId w:val="4"/>
        </w:numPr>
        <w:shd w:val="clear" w:color="auto" w:fill="FFFFFF"/>
        <w:tabs>
          <w:tab w:val="clear" w:pos="708"/>
          <w:tab w:val="left" w:pos="284" w:leader="none"/>
        </w:tabs>
        <w:ind w:left="0" w:hanging="0"/>
        <w:jc w:val="center"/>
        <w:rPr>
          <w:b/>
          <w:bCs/>
        </w:rPr>
      </w:pPr>
      <w:r>
        <w:rPr>
          <w:b/>
          <w:bCs/>
        </w:rPr>
        <w:t xml:space="preserve">Права и обязанности Сторон </w:t>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Заказчик обязан</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4"/>
        </w:numPr>
        <w:shd w:val="clear" w:color="auto" w:fill="FFFFFF"/>
        <w:tabs>
          <w:tab w:val="clear" w:pos="708"/>
          <w:tab w:val="left" w:pos="1418" w:leader="none"/>
        </w:tabs>
        <w:ind w:left="0" w:firstLine="709"/>
        <w:jc w:val="both"/>
        <w:rPr/>
      </w:pPr>
      <w:r>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 xml:space="preserve">место производства Работ, </w:t>
      </w:r>
      <w:r>
        <w:rPr>
          <w:color w:val="000000"/>
        </w:rPr>
        <w:t xml:space="preserve">место (помещение) для складирования </w:t>
      </w:r>
      <w:r>
        <w:rPr>
          <w:bCs/>
          <w:color w:val="000000"/>
        </w:rPr>
        <w:t>Материально-технических ресурсов и оборудования</w:t>
      </w:r>
      <w:r>
        <w:rPr>
          <w:color w:val="000000"/>
        </w:rPr>
        <w:t xml:space="preserve"> по соответствующим актам сдачи-приемки (Приложение № 4.1 к Договору);</w:t>
      </w:r>
    </w:p>
    <w:p>
      <w:pPr>
        <w:pStyle w:val="ListParagraph"/>
        <w:numPr>
          <w:ilvl w:val="0"/>
          <w:numId w:val="8"/>
        </w:numPr>
        <w:shd w:val="clear" w:color="auto" w:fill="FFFFFF"/>
        <w:tabs>
          <w:tab w:val="clear" w:pos="708"/>
          <w:tab w:val="left" w:pos="709" w:leader="none"/>
          <w:tab w:val="left" w:pos="1418" w:leader="none"/>
        </w:tabs>
        <w:ind w:left="0" w:firstLine="709"/>
        <w:jc w:val="both"/>
        <w:rPr/>
      </w:pPr>
      <w:bookmarkStart w:id="2" w:name="_Ref361396847"/>
      <w:bookmarkStart w:id="3" w:name="_Ref361401696"/>
      <w:bookmarkStart w:id="4" w:name="_Ref361320734"/>
      <w:r>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bookmarkEnd w:id="2"/>
      <w:bookmarkEnd w:id="3"/>
      <w:bookmarkEnd w:id="4"/>
    </w:p>
    <w:p>
      <w:pPr>
        <w:pStyle w:val="ListParagraph"/>
        <w:numPr>
          <w:ilvl w:val="2"/>
          <w:numId w:val="4"/>
        </w:numPr>
        <w:shd w:val="clear" w:color="auto" w:fill="FFFFFF"/>
        <w:tabs>
          <w:tab w:val="clear" w:pos="708"/>
          <w:tab w:val="left" w:pos="1418" w:leader="none"/>
        </w:tabs>
        <w:ind w:left="0" w:firstLine="709"/>
        <w:jc w:val="both"/>
        <w:rPr>
          <w:bCs/>
        </w:rPr>
      </w:pPr>
      <w:r>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4"/>
        </w:numPr>
        <w:shd w:val="clear" w:color="auto" w:fill="FFFFFF"/>
        <w:tabs>
          <w:tab w:val="clear" w:pos="708"/>
          <w:tab w:val="left" w:pos="709" w:leader="none"/>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4"/>
        </w:numPr>
        <w:shd w:val="clear" w:color="auto" w:fill="FFFFFF"/>
        <w:tabs>
          <w:tab w:val="clear" w:pos="708"/>
          <w:tab w:val="left" w:pos="709" w:leader="none"/>
        </w:tabs>
        <w:ind w:left="0" w:firstLine="710"/>
        <w:jc w:val="both"/>
        <w:rPr>
          <w:bCs/>
        </w:rPr>
      </w:pPr>
      <w:r>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pPr>
        <w:pStyle w:val="ListParagraph"/>
        <w:numPr>
          <w:ilvl w:val="2"/>
          <w:numId w:val="4"/>
        </w:numPr>
        <w:shd w:val="clear" w:color="auto" w:fill="FFFFFF"/>
        <w:tabs>
          <w:tab w:val="clear" w:pos="708"/>
          <w:tab w:val="left" w:pos="709" w:leader="none"/>
        </w:tabs>
        <w:ind w:left="0" w:firstLine="709"/>
        <w:jc w:val="both"/>
        <w:rPr/>
      </w:pPr>
      <w:r>
        <w:rPr>
          <w:bCs/>
        </w:rPr>
        <w:t>Выполнять иные обязанности, предусмотренные Договором, в том числе выполнять в своей части требования, указанные в Регламенте взаимодействия в ходе исполнения процессов управления проектом (Приложение № 9 к Договору).</w:t>
      </w:r>
    </w:p>
    <w:p>
      <w:pPr>
        <w:pStyle w:val="Normal"/>
        <w:tabs>
          <w:tab w:val="clear" w:pos="708"/>
          <w:tab w:val="left" w:pos="709" w:leader="none"/>
        </w:tabs>
        <w:spacing w:lineRule="auto" w:line="240"/>
        <w:ind w:hanging="0"/>
        <w:rPr>
          <w:b/>
          <w:sz w:val="24"/>
          <w:szCs w:val="24"/>
        </w:rPr>
      </w:pPr>
      <w:r>
        <w:rPr>
          <w:b/>
          <w:sz w:val="24"/>
          <w:szCs w:val="24"/>
        </w:rPr>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Заказчик имеет право</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Круглосуточно осуществлять доступ к месту производства Работ.</w:t>
      </w:r>
    </w:p>
    <w:p>
      <w:pPr>
        <w:pStyle w:val="ListParagraph"/>
        <w:numPr>
          <w:ilvl w:val="2"/>
          <w:numId w:val="4"/>
        </w:numPr>
        <w:shd w:val="clear" w:color="auto" w:fill="FFFFFF"/>
        <w:tabs>
          <w:tab w:val="clear" w:pos="708"/>
          <w:tab w:val="left" w:pos="1418" w:leader="none"/>
        </w:tabs>
        <w:ind w:left="0" w:firstLine="709"/>
        <w:jc w:val="both"/>
        <w:rPr>
          <w:bCs/>
        </w:rPr>
      </w:pPr>
      <w:bookmarkStart w:id="5"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bCs/>
        </w:rPr>
        <w:t xml:space="preserve"> </w:t>
      </w:r>
    </w:p>
    <w:p>
      <w:pPr>
        <w:pStyle w:val="ListParagraph"/>
        <w:numPr>
          <w:ilvl w:val="2"/>
          <w:numId w:val="4"/>
        </w:numPr>
        <w:shd w:val="clear" w:color="auto" w:fill="FFFFFF"/>
        <w:tabs>
          <w:tab w:val="clear" w:pos="708"/>
          <w:tab w:val="left" w:pos="1418" w:leader="none"/>
        </w:tabs>
        <w:ind w:left="0" w:firstLine="709"/>
        <w:jc w:val="both"/>
        <w:rPr>
          <w:bCs/>
        </w:rPr>
      </w:pPr>
      <w:bookmarkStart w:id="6"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pPr>
        <w:pStyle w:val="ListParagraph"/>
        <w:numPr>
          <w:ilvl w:val="2"/>
          <w:numId w:val="4"/>
        </w:numPr>
        <w:shd w:val="clear" w:color="auto" w:fill="FFFFFF"/>
        <w:tabs>
          <w:tab w:val="clear" w:pos="708"/>
          <w:tab w:val="left" w:pos="1418" w:leader="none"/>
        </w:tabs>
        <w:ind w:left="0" w:firstLine="709"/>
        <w:jc w:val="both"/>
        <w:rPr>
          <w:bCs/>
        </w:rPr>
      </w:pPr>
      <w:bookmarkStart w:id="7"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Pr>
          <w:bCs/>
        </w:rPr>
        <w:t xml:space="preserve"> </w:t>
      </w:r>
    </w:p>
    <w:p>
      <w:pPr>
        <w:pStyle w:val="ListParagraph"/>
        <w:numPr>
          <w:ilvl w:val="2"/>
          <w:numId w:val="4"/>
        </w:numPr>
        <w:shd w:val="clear" w:color="auto" w:fill="FFFFFF"/>
        <w:tabs>
          <w:tab w:val="clear" w:pos="708"/>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4"/>
        </w:numPr>
        <w:shd w:val="clear" w:color="auto" w:fill="FFFFFF"/>
        <w:tabs>
          <w:tab w:val="clear" w:pos="708"/>
          <w:tab w:val="left" w:pos="1418" w:leader="none"/>
        </w:tabs>
        <w:ind w:left="0" w:firstLine="710"/>
        <w:jc w:val="both"/>
        <w:rPr>
          <w:bCs/>
        </w:rPr>
      </w:pPr>
      <w:r>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pPr>
        <w:pStyle w:val="ListParagraph"/>
        <w:numPr>
          <w:ilvl w:val="2"/>
          <w:numId w:val="4"/>
        </w:numPr>
        <w:shd w:val="clear" w:color="auto" w:fill="FFFFFF"/>
        <w:tabs>
          <w:tab w:val="clear" w:pos="708"/>
          <w:tab w:val="left" w:pos="709" w:leader="none"/>
        </w:tabs>
        <w:ind w:left="0" w:firstLine="709"/>
        <w:jc w:val="both"/>
        <w:rPr>
          <w:bCs/>
        </w:rPr>
      </w:pPr>
      <w:r>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pPr>
        <w:pStyle w:val="ListParagraph"/>
        <w:numPr>
          <w:ilvl w:val="2"/>
          <w:numId w:val="4"/>
        </w:numPr>
        <w:shd w:val="clear" w:color="auto" w:fill="FFFFFF"/>
        <w:tabs>
          <w:tab w:val="clear" w:pos="708"/>
          <w:tab w:val="left" w:pos="709" w:leader="none"/>
        </w:tabs>
        <w:ind w:left="0" w:firstLine="709"/>
        <w:jc w:val="both"/>
        <w:rPr/>
      </w:pPr>
      <w:r>
        <w:rPr>
          <w:bCs/>
        </w:rPr>
        <w:t>В случае нарушения Подрядчиком п.2.4.2 настоящего договора Заказчик имеет право</w:t>
      </w:r>
      <w:r>
        <w:rPr/>
        <w:t xml:space="preserve">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shd w:val="clear" w:color="auto" w:fill="FFFFFF"/>
        <w:tabs>
          <w:tab w:val="clear" w:pos="708"/>
          <w:tab w:val="left" w:pos="567" w:leader="none"/>
        </w:tabs>
        <w:ind w:left="0" w:firstLine="567"/>
        <w:jc w:val="both"/>
        <w:rPr>
          <w:bCs/>
          <w:color w:val="FF0000"/>
        </w:rPr>
      </w:pPr>
      <w:r>
        <w:rPr>
          <w:bCs/>
          <w:color w:val="FF0000"/>
        </w:rPr>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Подрядчик обязан</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В срок, указанный в пункте 2.1.2 Договора, принять от Заказчика на время выполнения Работ по Договору: </w:t>
      </w:r>
    </w:p>
    <w:p>
      <w:pPr>
        <w:pStyle w:val="ListParagraph"/>
        <w:numPr>
          <w:ilvl w:val="0"/>
          <w:numId w:val="17"/>
        </w:numPr>
        <w:shd w:val="clear" w:color="auto" w:fill="FFFFFF"/>
        <w:tabs>
          <w:tab w:val="clear" w:pos="708"/>
          <w:tab w:val="left" w:pos="1418" w:leader="none"/>
        </w:tabs>
        <w:ind w:left="0" w:firstLine="709"/>
        <w:jc w:val="both"/>
        <w:rPr>
          <w:bCs/>
        </w:rPr>
      </w:pPr>
      <w:r>
        <w:rPr>
          <w:bCs/>
        </w:rPr>
        <w:t xml:space="preserve">место производства Работ, </w:t>
      </w:r>
      <w:r>
        <w:rPr>
          <w:bCs/>
          <w:color w:val="000000"/>
        </w:rPr>
        <w:t>место (помещение) для складирования Материально-технических ресурсов и оборудования, по соответствующим актам сдачи-приемки (Приложение № 4.1 к Договору);</w:t>
      </w:r>
    </w:p>
    <w:p>
      <w:pPr>
        <w:pStyle w:val="ListParagraph"/>
        <w:numPr>
          <w:ilvl w:val="0"/>
          <w:numId w:val="17"/>
        </w:numPr>
        <w:shd w:val="clear" w:color="auto" w:fill="FFFFFF"/>
        <w:tabs>
          <w:tab w:val="clear" w:pos="708"/>
          <w:tab w:val="left" w:pos="1418" w:leader="none"/>
        </w:tabs>
        <w:ind w:left="0" w:firstLine="709"/>
        <w:jc w:val="both"/>
        <w:rPr>
          <w:bCs/>
        </w:rPr>
      </w:pPr>
      <w:r>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pPr>
        <w:pStyle w:val="ListParagraph"/>
        <w:numPr>
          <w:ilvl w:val="2"/>
          <w:numId w:val="4"/>
        </w:numPr>
        <w:shd w:val="clear" w:color="auto" w:fill="FFFFFF"/>
        <w:tabs>
          <w:tab w:val="clear" w:pos="708"/>
          <w:tab w:val="left" w:pos="1418" w:leader="none"/>
        </w:tabs>
        <w:ind w:left="0" w:firstLine="709"/>
        <w:jc w:val="both"/>
        <w:rPr>
          <w:bCs/>
          <w:highlight w:val="lightGray"/>
        </w:rPr>
      </w:pPr>
      <w:r>
        <w:rPr>
          <w:bCs/>
        </w:rPr>
        <w:t>При приемке Места производства Работ</w:t>
      </w:r>
      <w:r>
        <w:rPr/>
        <w:t>,</w:t>
      </w:r>
      <w:r>
        <w:rPr>
          <w:bCs/>
        </w:rPr>
        <w:t xml:space="preserve"> места (помещения) для складирования Материально-технических ресурсов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w:t>
      </w:r>
      <w:r>
        <w:rPr>
          <w:bCs/>
          <w:highlight w:val="lightGray"/>
        </w:rPr>
        <w:t>,</w:t>
      </w:r>
      <w:r>
        <w:rPr/>
        <w:t xml:space="preserve"> </w:t>
      </w:r>
      <w:r>
        <w:rPr>
          <w:bCs/>
        </w:rPr>
        <w:t>складируемых Материально-технических ресурсов и оборудования.</w:t>
      </w:r>
    </w:p>
    <w:p>
      <w:pPr>
        <w:pStyle w:val="ListParagraph"/>
        <w:shd w:val="clear" w:color="auto" w:fill="FFFFFF"/>
        <w:tabs>
          <w:tab w:val="clear" w:pos="708"/>
          <w:tab w:val="left" w:pos="709" w:leader="none"/>
        </w:tabs>
        <w:ind w:left="0" w:firstLine="709"/>
        <w:jc w:val="both"/>
        <w:rPr>
          <w:bCs/>
        </w:rPr>
      </w:pPr>
      <w:r>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pPr>
        <w:pStyle w:val="ListParagraph"/>
        <w:numPr>
          <w:ilvl w:val="2"/>
          <w:numId w:val="4"/>
        </w:numPr>
        <w:shd w:val="clear" w:color="auto" w:fill="FFFFFF"/>
        <w:tabs>
          <w:tab w:val="clear" w:pos="708"/>
          <w:tab w:val="left" w:pos="1418" w:leader="none"/>
        </w:tabs>
        <w:ind w:left="0" w:firstLine="709"/>
        <w:jc w:val="both"/>
        <w:rPr>
          <w:bCs/>
        </w:rPr>
      </w:pPr>
      <w:r>
        <w:rPr>
          <w:bCs/>
        </w:rPr>
        <w:t>Выдать замечания в отношении технической и иной документации, предоставленной Заказчиком, в течение 10 (десяти)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Normal"/>
        <w:widowControl w:val="false"/>
        <w:numPr>
          <w:ilvl w:val="2"/>
          <w:numId w:val="4"/>
        </w:numPr>
        <w:tabs>
          <w:tab w:val="clear" w:pos="708"/>
          <w:tab w:val="left" w:pos="709" w:leader="none"/>
          <w:tab w:val="left" w:pos="1430" w:leader="none"/>
        </w:tabs>
        <w:spacing w:lineRule="auto" w:line="240"/>
        <w:ind w:left="0" w:firstLine="709"/>
        <w:rPr>
          <w:bCs/>
          <w:sz w:val="24"/>
          <w:szCs w:val="24"/>
        </w:rPr>
      </w:pPr>
      <w:r>
        <w:rPr>
          <w:bCs/>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pPr>
        <w:pStyle w:val="Normal"/>
        <w:widowControl w:val="false"/>
        <w:numPr>
          <w:ilvl w:val="2"/>
          <w:numId w:val="4"/>
        </w:numPr>
        <w:tabs>
          <w:tab w:val="clear" w:pos="708"/>
          <w:tab w:val="left" w:pos="709" w:leader="none"/>
          <w:tab w:val="left" w:pos="1430" w:leader="none"/>
        </w:tabs>
        <w:spacing w:lineRule="auto" w:line="240"/>
        <w:ind w:left="0" w:firstLine="709"/>
        <w:rPr>
          <w:sz w:val="24"/>
          <w:szCs w:val="24"/>
        </w:rPr>
      </w:pPr>
      <w:r>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pPr>
        <w:pStyle w:val="ListParagraph"/>
        <w:numPr>
          <w:ilvl w:val="2"/>
          <w:numId w:val="4"/>
        </w:numPr>
        <w:shd w:val="clear" w:color="auto" w:fill="FFFFFF"/>
        <w:tabs>
          <w:tab w:val="clear" w:pos="708"/>
          <w:tab w:val="left" w:pos="1418" w:leader="none"/>
        </w:tabs>
        <w:ind w:left="0" w:firstLine="709"/>
        <w:jc w:val="both"/>
        <w:rPr>
          <w:bCs/>
        </w:rPr>
      </w:pPr>
      <w:r>
        <w:rPr/>
        <w:t>До фактического начала выполнения Работ предоставить Заказчику</w:t>
      </w:r>
      <w:r>
        <w:rPr>
          <w:bCs/>
        </w:rPr>
        <w:t>:</w:t>
      </w:r>
    </w:p>
    <w:p>
      <w:pPr>
        <w:pStyle w:val="ListParagraph"/>
        <w:numPr>
          <w:ilvl w:val="0"/>
          <w:numId w:val="14"/>
        </w:numPr>
        <w:shd w:val="clear" w:color="auto" w:fill="FFFFFF"/>
        <w:tabs>
          <w:tab w:val="clear" w:pos="708"/>
          <w:tab w:val="left" w:pos="1418" w:leader="none"/>
        </w:tabs>
        <w:ind w:left="0" w:firstLine="709"/>
        <w:jc w:val="both"/>
        <w:rPr/>
      </w:pPr>
      <w:r>
        <w:rP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Pr>
          <w:bCs/>
        </w:rPr>
        <w:t xml:space="preserve">; </w:t>
      </w:r>
    </w:p>
    <w:p>
      <w:pPr>
        <w:pStyle w:val="ListParagraph"/>
        <w:numPr>
          <w:ilvl w:val="0"/>
          <w:numId w:val="14"/>
        </w:numPr>
        <w:shd w:val="clear" w:color="auto" w:fill="FFFFFF"/>
        <w:tabs>
          <w:tab w:val="clear" w:pos="708"/>
          <w:tab w:val="left" w:pos="1418" w:leader="none"/>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14 Договора, – не позднее 3 (трех) рабочих дней с даты получения соответствующего требования Заказчика. </w:t>
      </w:r>
    </w:p>
    <w:p>
      <w:pPr>
        <w:pStyle w:val="ListParagraph"/>
        <w:numPr>
          <w:ilvl w:val="2"/>
          <w:numId w:val="4"/>
        </w:numPr>
        <w:shd w:val="clear" w:color="auto" w:fill="FFFFFF"/>
        <w:tabs>
          <w:tab w:val="clear" w:pos="708"/>
          <w:tab w:val="left" w:pos="1418" w:leader="none"/>
        </w:tabs>
        <w:ind w:left="0" w:firstLine="709"/>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5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4"/>
        </w:numPr>
        <w:shd w:val="clear" w:color="auto" w:fill="FFFFFF"/>
        <w:tabs>
          <w:tab w:val="clear" w:pos="708"/>
          <w:tab w:val="left" w:pos="1418" w:leader="none"/>
        </w:tabs>
        <w:ind w:left="0" w:firstLine="709"/>
        <w:jc w:val="both"/>
        <w:rPr/>
      </w:pPr>
      <w:r>
        <w:rPr/>
        <w:t>Обеспечить:</w:t>
      </w:r>
    </w:p>
    <w:p>
      <w:pPr>
        <w:pStyle w:val="ListParagraph"/>
        <w:numPr>
          <w:ilvl w:val="0"/>
          <w:numId w:val="15"/>
        </w:numPr>
        <w:shd w:val="clear" w:color="auto" w:fill="FFFFFF"/>
        <w:tabs>
          <w:tab w:val="clear" w:pos="708"/>
          <w:tab w:val="left" w:pos="567" w:leader="none"/>
          <w:tab w:val="left" w:pos="1418" w:leader="none"/>
        </w:tabs>
        <w:ind w:left="0" w:firstLine="709"/>
        <w:jc w:val="both"/>
        <w:rPr>
          <w:bCs/>
        </w:rPr>
      </w:pPr>
      <w:r>
        <w:rPr>
          <w:bCs/>
        </w:rPr>
        <w:t xml:space="preserve">участие в саморегулируемой организации, основанной на членстве лиц, </w:t>
      </w:r>
      <w:r>
        <w:rPr/>
        <w:t xml:space="preserve">выполняющих </w:t>
      </w:r>
      <w:r>
        <w:rPr>
          <w:highlight w:val="lightGray"/>
        </w:rPr>
        <w:t>инженерные изыскания / подготовку проектной документации</w:t>
      </w:r>
      <w:r>
        <w:rPr>
          <w:rStyle w:val="FootnoteReference"/>
        </w:rPr>
        <w:footnoteReference w:id="2"/>
      </w:r>
      <w:r>
        <w:rPr>
          <w:bCs/>
        </w:rPr>
        <w:t xml:space="preserve"> (с учетом исключений, предусмотренных законодательством Российской Федерации</w:t>
      </w:r>
      <w:r>
        <w:rPr>
          <w:rStyle w:val="FootnoteReference"/>
          <w:bCs/>
        </w:rPr>
        <w:footnoteReference w:id="3"/>
      </w:r>
      <w:r>
        <w:rPr>
          <w:bCs/>
        </w:rPr>
        <w:t>);</w:t>
      </w:r>
    </w:p>
    <w:p>
      <w:pPr>
        <w:pStyle w:val="ListParagraph"/>
        <w:numPr>
          <w:ilvl w:val="0"/>
          <w:numId w:val="15"/>
        </w:numPr>
        <w:shd w:val="clear" w:color="auto" w:fill="FFFFFF"/>
        <w:tabs>
          <w:tab w:val="clear" w:pos="708"/>
          <w:tab w:val="left" w:pos="567" w:leader="none"/>
          <w:tab w:val="left" w:pos="1418" w:leader="none"/>
        </w:tabs>
        <w:ind w:left="0" w:firstLine="709"/>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5"/>
        </w:numPr>
        <w:tabs>
          <w:tab w:val="clear" w:pos="708"/>
          <w:tab w:val="left" w:pos="567" w:leader="none"/>
        </w:tabs>
        <w:ind w:left="0" w:firstLine="709"/>
        <w:jc w:val="both"/>
        <w:rPr>
          <w:bCs/>
        </w:rPr>
      </w:pPr>
      <w:r>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pPr>
        <w:pStyle w:val="ListParagraph"/>
        <w:numPr>
          <w:ilvl w:val="2"/>
          <w:numId w:val="4"/>
        </w:numPr>
        <w:shd w:val="clear" w:color="auto" w:fill="FFFFFF"/>
        <w:tabs>
          <w:tab w:val="clear" w:pos="708"/>
          <w:tab w:val="left" w:pos="1418" w:leader="none"/>
        </w:tabs>
        <w:ind w:left="0" w:firstLine="709"/>
        <w:jc w:val="both"/>
        <w:rPr>
          <w:bCs/>
        </w:rPr>
      </w:pPr>
      <w:r>
        <w:rPr/>
        <w:t>Выполнять</w:t>
      </w:r>
      <w:r>
        <w:rPr>
          <w:bCs/>
        </w:rPr>
        <w:t xml:space="preserve"> Работы силами квалифицированных специалистов (в том числе, с учетом требований пункта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numPr>
          <w:ilvl w:val="2"/>
          <w:numId w:val="4"/>
        </w:numPr>
        <w:shd w:val="clear" w:color="auto" w:fill="FFFFFF"/>
        <w:tabs>
          <w:tab w:val="clear" w:pos="708"/>
          <w:tab w:val="left" w:pos="1418" w:leader="none"/>
        </w:tabs>
        <w:ind w:left="0" w:firstLine="709"/>
        <w:jc w:val="both"/>
        <w:rPr/>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pPr>
        <w:pStyle w:val="ListParagraph"/>
        <w:numPr>
          <w:ilvl w:val="2"/>
          <w:numId w:val="4"/>
        </w:numPr>
        <w:shd w:val="clear" w:color="auto" w:fill="FFFFFF"/>
        <w:tabs>
          <w:tab w:val="clear" w:pos="708"/>
          <w:tab w:val="left" w:pos="1418" w:leader="none"/>
        </w:tabs>
        <w:ind w:left="0" w:firstLine="709"/>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4"/>
        </w:numPr>
        <w:shd w:val="clear" w:color="auto" w:fill="FFFFFF"/>
        <w:tabs>
          <w:tab w:val="clear" w:pos="708"/>
          <w:tab w:val="left" w:pos="1418" w:leader="none"/>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Передать Заказчику Результат Работ, соответствующий требованиям Договора. </w:t>
      </w:r>
    </w:p>
    <w:p>
      <w:pPr>
        <w:pStyle w:val="ListParagraph"/>
        <w:numPr>
          <w:ilvl w:val="2"/>
          <w:numId w:val="4"/>
        </w:numPr>
        <w:shd w:val="clear" w:color="auto" w:fill="FFFFFF"/>
        <w:tabs>
          <w:tab w:val="clear" w:pos="708"/>
          <w:tab w:val="left" w:pos="1418" w:leader="none"/>
        </w:tabs>
        <w:ind w:left="0" w:firstLine="709"/>
        <w:jc w:val="both"/>
        <w:rPr>
          <w:bCs/>
        </w:rPr>
      </w:pPr>
      <w:r>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pPr>
        <w:pStyle w:val="ListParagraph"/>
        <w:shd w:val="clear" w:color="auto" w:fill="FFFFFF"/>
        <w:tabs>
          <w:tab w:val="clear" w:pos="708"/>
          <w:tab w:val="left" w:pos="1418" w:leader="none"/>
        </w:tabs>
        <w:ind w:left="0" w:firstLine="709"/>
        <w:jc w:val="both"/>
        <w:rPr>
          <w:bCs/>
        </w:rPr>
      </w:pPr>
      <w:r>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4"/>
        </w:numPr>
        <w:shd w:val="clear" w:color="auto" w:fill="FFFFFF"/>
        <w:tabs>
          <w:tab w:val="clear" w:pos="708"/>
          <w:tab w:val="left" w:pos="1418" w:leader="none"/>
        </w:tabs>
        <w:ind w:left="0" w:firstLine="709"/>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2.3.20.1 Договора. </w:t>
      </w:r>
    </w:p>
    <w:p>
      <w:pPr>
        <w:pStyle w:val="ListParagraph"/>
        <w:shd w:val="clear" w:color="auto" w:fill="FFFFFF"/>
        <w:tabs>
          <w:tab w:val="clear" w:pos="708"/>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2.3.20.1 Договора. </w:t>
      </w:r>
    </w:p>
    <w:p>
      <w:pPr>
        <w:pStyle w:val="ListParagraph"/>
        <w:numPr>
          <w:ilvl w:val="2"/>
          <w:numId w:val="4"/>
        </w:numPr>
        <w:shd w:val="clear" w:color="auto" w:fill="FFFFFF"/>
        <w:tabs>
          <w:tab w:val="clear" w:pos="708"/>
          <w:tab w:val="left" w:pos="1418" w:leader="none"/>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4"/>
        </w:numPr>
        <w:shd w:val="clear" w:color="auto" w:fill="FFFFFF"/>
        <w:tabs>
          <w:tab w:val="clear" w:pos="708"/>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4"/>
        </w:numPr>
        <w:shd w:val="clear" w:color="auto" w:fill="FFFFFF"/>
        <w:tabs>
          <w:tab w:val="clear" w:pos="708"/>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4"/>
        </w:numPr>
        <w:shd w:val="clear" w:color="auto" w:fill="FFFFFF"/>
        <w:tabs>
          <w:tab w:val="clear" w:pos="708"/>
          <w:tab w:val="left" w:pos="1701" w:leader="none"/>
        </w:tabs>
        <w:ind w:left="0" w:firstLine="709"/>
        <w:jc w:val="both"/>
        <w:rPr>
          <w:bCs/>
        </w:rPr>
      </w:pPr>
      <w:r>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firstLine="709"/>
        <w:jc w:val="both"/>
        <w:rPr>
          <w:bCs/>
        </w:rPr>
      </w:pPr>
      <w:r>
        <w:rPr>
          <w:bCs/>
        </w:rPr>
        <w:t>Невыполнение Подрядчиком требований пункта 2.3.20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4"/>
        </w:numPr>
        <w:shd w:val="clear" w:color="auto" w:fill="FFFFFF"/>
        <w:tabs>
          <w:tab w:val="clear" w:pos="708"/>
          <w:tab w:val="left" w:pos="1418" w:leader="none"/>
        </w:tabs>
        <w:ind w:left="0" w:firstLine="709"/>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6"/>
        </w:numPr>
        <w:tabs>
          <w:tab w:val="clear" w:pos="708"/>
          <w:tab w:val="left" w:pos="1134" w:leader="none"/>
        </w:tabs>
        <w:ind w:left="0" w:right="23" w:firstLine="709"/>
        <w:jc w:val="both"/>
        <w:rPr/>
      </w:pPr>
      <w:r>
        <w:rPr/>
        <w:t>аварии – в течение 2 (двух) часов;</w:t>
      </w:r>
    </w:p>
    <w:p>
      <w:pPr>
        <w:pStyle w:val="ListParagraph"/>
        <w:numPr>
          <w:ilvl w:val="0"/>
          <w:numId w:val="16"/>
        </w:numPr>
        <w:tabs>
          <w:tab w:val="clear" w:pos="708"/>
          <w:tab w:val="left" w:pos="1134" w:leader="none"/>
        </w:tabs>
        <w:ind w:left="0" w:right="23"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6"/>
        </w:numPr>
        <w:tabs>
          <w:tab w:val="clear" w:pos="708"/>
          <w:tab w:val="left" w:pos="1134" w:leader="none"/>
        </w:tabs>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6"/>
        </w:numPr>
        <w:tabs>
          <w:tab w:val="clear" w:pos="708"/>
          <w:tab w:val="left" w:pos="1134" w:leader="none"/>
        </w:tabs>
        <w:ind w:left="0" w:right="23"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6"/>
        </w:numPr>
        <w:tabs>
          <w:tab w:val="clear" w:pos="708"/>
          <w:tab w:val="left" w:pos="1134" w:leader="none"/>
        </w:tabs>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6"/>
        </w:numPr>
        <w:tabs>
          <w:tab w:val="clear" w:pos="708"/>
          <w:tab w:val="left" w:pos="1134" w:leader="none"/>
        </w:tabs>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4"/>
        </w:numPr>
        <w:shd w:val="clear" w:color="auto" w:fill="FFFFFF"/>
        <w:tabs>
          <w:tab w:val="clear" w:pos="708"/>
          <w:tab w:val="left" w:pos="1418" w:leader="none"/>
        </w:tabs>
        <w:ind w:left="0" w:firstLine="709"/>
        <w:jc w:val="both"/>
        <w:rPr>
          <w:bCs/>
        </w:rPr>
      </w:pPr>
      <w:r>
        <w:rPr/>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Pr>
          <w:bCs/>
        </w:rPr>
        <w:t>требований Договора.</w:t>
      </w:r>
    </w:p>
    <w:p>
      <w:pPr>
        <w:pStyle w:val="ListParagraph"/>
        <w:numPr>
          <w:ilvl w:val="2"/>
          <w:numId w:val="4"/>
        </w:numPr>
        <w:shd w:val="clear" w:color="auto" w:fill="FFFFFF"/>
        <w:tabs>
          <w:tab w:val="clear" w:pos="708"/>
          <w:tab w:val="left" w:pos="1418" w:leader="none"/>
        </w:tabs>
        <w:ind w:left="0" w:firstLine="709"/>
        <w:jc w:val="both"/>
        <w:rPr>
          <w:bCs/>
        </w:rPr>
      </w:pPr>
      <w:r>
        <w:rPr>
          <w:bCs/>
        </w:rPr>
        <w:t>Незамедлительно приступить к устранению недостатков Результата Работ, о которых ему стало известно.</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Pr>
          <w:lang w:eastAsia="en-US"/>
        </w:rPr>
        <w:t>Проектной документации, Результата Инженерных изысканий и / или Рабочей документации</w:t>
      </w:r>
      <w:r>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Pr>
          <w:lang w:eastAsia="en-US"/>
        </w:rPr>
        <w:t>Проектной документации, Результата Инженерных изысканий и / или Рабочей документации</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недобросовестностью Субподрядчиков (любого лица из цепочки субподрядчиков),</w:t>
      </w:r>
      <w:r>
        <w:rPr/>
        <w:t xml:space="preserve"> </w:t>
      </w:r>
      <w:r>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4"/>
        </w:numPr>
        <w:ind w:left="0" w:firstLine="709"/>
        <w:jc w:val="both"/>
        <w:rPr>
          <w:color w:val="000000"/>
        </w:rPr>
      </w:pPr>
      <w:r>
        <w:rPr>
          <w:color w:val="000000"/>
        </w:rPr>
        <w:t>Предоставить Заказчику независимые гарантии в соответствии с разделом 6 Договора.</w:t>
      </w:r>
    </w:p>
    <w:p>
      <w:pPr>
        <w:pStyle w:val="ListParagraph"/>
        <w:numPr>
          <w:ilvl w:val="2"/>
          <w:numId w:val="4"/>
        </w:numPr>
        <w:shd w:val="clear" w:color="auto" w:fill="FFFFFF"/>
        <w:tabs>
          <w:tab w:val="clear" w:pos="708"/>
          <w:tab w:val="left" w:pos="1418" w:leader="none"/>
        </w:tabs>
        <w:ind w:left="0" w:firstLine="710"/>
        <w:jc w:val="both"/>
        <w:rPr/>
      </w:pPr>
      <w:r>
        <w:rPr/>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pPr>
        <w:pStyle w:val="ListParagraph"/>
        <w:numPr>
          <w:ilvl w:val="2"/>
          <w:numId w:val="4"/>
        </w:numPr>
        <w:shd w:val="clear" w:color="auto" w:fill="FFFFFF"/>
        <w:tabs>
          <w:tab w:val="clear" w:pos="708"/>
          <w:tab w:val="left" w:pos="1418" w:leader="none"/>
        </w:tabs>
        <w:ind w:left="0" w:firstLine="710"/>
        <w:jc w:val="both"/>
        <w:rPr/>
      </w:pPr>
      <w: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bookmarkStart w:id="8" w:name="_GoBack1"/>
      <w:bookmarkEnd w:id="8"/>
    </w:p>
    <w:p>
      <w:pPr>
        <w:pStyle w:val="ListParagraph"/>
        <w:shd w:val="clear" w:color="auto" w:fill="FFFFFF"/>
        <w:tabs>
          <w:tab w:val="clear" w:pos="708"/>
          <w:tab w:val="left" w:pos="1418" w:leader="none"/>
        </w:tabs>
        <w:ind w:left="0" w:hanging="0"/>
        <w:jc w:val="both"/>
        <w:rPr/>
      </w:pPr>
      <w:r>
        <w:rPr/>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Подрядчик имеет право</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Самостоятельно организовать выполнение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50% (пятьдесят процентов)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1418"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18"/>
        </w:numPr>
        <w:shd w:val="clear" w:color="auto" w:fill="FFFFFF"/>
        <w:tabs>
          <w:tab w:val="clear" w:pos="708"/>
          <w:tab w:val="left" w:pos="709" w:leader="none"/>
        </w:tabs>
        <w:ind w:left="0" w:firstLine="709"/>
        <w:jc w:val="both"/>
        <w:rPr>
          <w:bCs/>
        </w:rPr>
      </w:pPr>
      <w:r>
        <w:rPr>
          <w:bCs/>
        </w:rPr>
        <w:t xml:space="preserve">проект договора с Субподрядчиком; </w:t>
      </w:r>
    </w:p>
    <w:p>
      <w:pPr>
        <w:pStyle w:val="ListParagraph"/>
        <w:numPr>
          <w:ilvl w:val="0"/>
          <w:numId w:val="18"/>
        </w:numPr>
        <w:shd w:val="clear" w:color="auto" w:fill="FFFFFF"/>
        <w:tabs>
          <w:tab w:val="clear" w:pos="708"/>
          <w:tab w:val="left" w:pos="709" w:leader="none"/>
        </w:tabs>
        <w:ind w:left="0" w:firstLine="709"/>
        <w:jc w:val="both"/>
        <w:rPr>
          <w:bCs/>
        </w:rPr>
      </w:pPr>
      <w:r>
        <w:rPr>
          <w:bCs/>
        </w:rPr>
        <w:t xml:space="preserve">сведения об объемах выполнения работ Субподрядчиком; </w:t>
      </w:r>
    </w:p>
    <w:p>
      <w:pPr>
        <w:pStyle w:val="ListParagraph"/>
        <w:numPr>
          <w:ilvl w:val="0"/>
          <w:numId w:val="18"/>
        </w:numPr>
        <w:shd w:val="clear" w:color="auto" w:fill="FFFFFF"/>
        <w:tabs>
          <w:tab w:val="clear" w:pos="708"/>
          <w:tab w:val="left" w:pos="709" w:leader="none"/>
          <w:tab w:val="left" w:pos="1418" w:leader="none"/>
        </w:tabs>
        <w:ind w:left="0" w:firstLine="419"/>
        <w:jc w:val="both"/>
        <w:rPr>
          <w:bCs/>
        </w:rPr>
      </w:pPr>
      <w:r>
        <w:rPr>
          <w:bCs/>
        </w:rPr>
        <w:t xml:space="preserve">пофамильный перечень персонала Субподрядчика, который будет задействован при производстве Работ </w:t>
      </w:r>
      <w:r>
        <w:rPr/>
        <w:t>с указанием их паспортных данных, должности,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rPr>
        <w:t xml:space="preserve"> Если при выполнении работ используется техника, то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ListParagraph"/>
        <w:numPr>
          <w:ilvl w:val="0"/>
          <w:numId w:val="18"/>
        </w:numPr>
        <w:shd w:val="clear" w:color="auto" w:fill="FFFFFF"/>
        <w:tabs>
          <w:tab w:val="clear" w:pos="708"/>
          <w:tab w:val="left" w:pos="709" w:leader="none"/>
        </w:tabs>
        <w:ind w:left="0" w:firstLine="709"/>
        <w:jc w:val="both"/>
        <w:rPr>
          <w:bCs/>
        </w:rPr>
      </w:pPr>
      <w:r>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pPr>
        <w:pStyle w:val="ListParagraph"/>
        <w:shd w:val="clear" w:color="auto" w:fill="FFFFFF"/>
        <w:tabs>
          <w:tab w:val="clear" w:pos="708"/>
          <w:tab w:val="left" w:pos="1418" w:leader="none"/>
        </w:tabs>
        <w:ind w:left="0" w:firstLine="709"/>
        <w:jc w:val="both"/>
        <w:rPr/>
      </w:pPr>
      <w:r>
        <w:rPr/>
      </w:r>
    </w:p>
    <w:p>
      <w:pPr>
        <w:pStyle w:val="ListParagraph"/>
        <w:numPr>
          <w:ilvl w:val="0"/>
          <w:numId w:val="4"/>
        </w:numPr>
        <w:shd w:val="clear" w:color="auto" w:fill="FFFFFF"/>
        <w:tabs>
          <w:tab w:val="clear" w:pos="708"/>
          <w:tab w:val="left" w:pos="284" w:leader="none"/>
        </w:tabs>
        <w:ind w:left="0" w:hanging="0"/>
        <w:jc w:val="center"/>
        <w:rPr/>
      </w:pPr>
      <w:r>
        <w:rPr>
          <w:b/>
          <w:bCs/>
        </w:rPr>
        <w:t>Цена Договора и порядок расчетов</w:t>
      </w:r>
    </w:p>
    <w:p>
      <w:pPr>
        <w:pStyle w:val="ListParagraph"/>
        <w:numPr>
          <w:ilvl w:val="1"/>
          <w:numId w:val="4"/>
        </w:numPr>
        <w:shd w:val="clear" w:color="auto" w:fill="FFFFFF"/>
        <w:tabs>
          <w:tab w:val="clear" w:pos="708"/>
          <w:tab w:val="left" w:pos="1134" w:leader="none"/>
        </w:tabs>
        <w:ind w:left="0" w:firstLine="709"/>
        <w:jc w:val="both"/>
        <w:rPr>
          <w:bCs/>
        </w:rPr>
      </w:pPr>
      <w:bookmarkStart w:id="9" w:name="_Ref361335465"/>
      <w:r>
        <w:rPr>
          <w:bCs/>
        </w:rPr>
        <w:t xml:space="preserve">Цена </w:t>
      </w:r>
      <w:r>
        <w:rPr/>
        <w:t xml:space="preserve">Договора </w:t>
      </w:r>
      <w:r>
        <w:rPr>
          <w:bCs/>
        </w:rPr>
        <w:t xml:space="preserve">в соответствии со Сводной сметой с приложениями (Приложение № 3 к Договору) является </w:t>
      </w:r>
      <w:r>
        <w:rPr>
          <w:bCs/>
          <w:highlight w:val="lightGray"/>
        </w:rPr>
        <w:t>предельной / твердой</w:t>
      </w:r>
      <w:r>
        <w:rPr>
          <w:bCs/>
        </w:rPr>
        <w:t xml:space="preserve"> и составляет </w:t>
      </w:r>
      <w:r>
        <w:rPr>
          <w:highlight w:val="lightGray"/>
        </w:rPr>
        <w:t>_______</w:t>
      </w:r>
      <w:r>
        <w:rPr>
          <w:bCs/>
        </w:rPr>
        <w:t xml:space="preserve"> (</w:t>
      </w:r>
      <w:r>
        <w:rPr>
          <w:highlight w:val="lightGray"/>
        </w:rPr>
        <w:t>__________________</w:t>
      </w:r>
      <w:r>
        <w:rPr>
          <w:bCs/>
          <w:highlight w:val="lightGray"/>
        </w:rPr>
        <w:t>)</w:t>
      </w:r>
      <w:r>
        <w:rPr>
          <w:bCs/>
        </w:rPr>
        <w:t xml:space="preserve"> рублей </w:t>
      </w:r>
      <w:r>
        <w:rPr>
          <w:highlight w:val="lightGray"/>
        </w:rPr>
        <w:t>___</w:t>
      </w:r>
      <w:r>
        <w:rPr>
          <w:bCs/>
        </w:rPr>
        <w:t xml:space="preserve"> копеек, без учета НДС, при этом НДС исчисляется дополнительно по ставке, установленной статьей 164 Налогового кодекса РФ. </w:t>
      </w:r>
    </w:p>
    <w:p>
      <w:pPr>
        <w:pStyle w:val="ListParagraph"/>
        <w:numPr>
          <w:ilvl w:val="2"/>
          <w:numId w:val="4"/>
        </w:numPr>
        <w:shd w:val="clear" w:color="auto" w:fill="FFFFFF"/>
        <w:tabs>
          <w:tab w:val="clear" w:pos="708"/>
          <w:tab w:val="left" w:pos="1418" w:leader="none"/>
        </w:tabs>
        <w:ind w:left="0" w:firstLine="709"/>
        <w:jc w:val="both"/>
        <w:rPr>
          <w:bCs/>
        </w:rPr>
      </w:pPr>
      <w:r>
        <w:rPr>
          <w:highlight w:val="lightGray"/>
        </w:rPr>
        <w:t xml:space="preserve">Предельная </w:t>
      </w:r>
      <w:r>
        <w:rPr>
          <w:bCs/>
          <w:highlight w:val="lightGray"/>
        </w:rPr>
        <w:t>/ Твердая</w:t>
      </w:r>
      <w:r>
        <w:rPr>
          <w:bCs/>
        </w:rPr>
        <w:t xml:space="preserve"> цена Работ </w:t>
      </w:r>
      <w:r>
        <w:rPr>
          <w:bCs/>
          <w:highlight w:val="lightGray"/>
        </w:rPr>
        <w:t>(без учета Лимита на непредвиденные работы и затраты, Инженерных изысканий)</w:t>
      </w:r>
      <w:r>
        <w:rPr>
          <w:bCs/>
        </w:rPr>
        <w:t xml:space="preserve"> составляет </w:t>
      </w:r>
      <w:r>
        <w:rPr>
          <w:highlight w:val="lightGray"/>
        </w:rPr>
        <w:t>_______</w:t>
      </w:r>
      <w:r>
        <w:rPr/>
        <w:t xml:space="preserve"> </w:t>
      </w:r>
      <w:r>
        <w:rPr>
          <w:bCs/>
        </w:rPr>
        <w:t>(</w:t>
      </w:r>
      <w:r>
        <w:rPr>
          <w:highlight w:val="lightGray"/>
        </w:rPr>
        <w:t>_______________</w:t>
      </w:r>
      <w:r>
        <w:rPr>
          <w:bCs/>
        </w:rPr>
        <w:t xml:space="preserve">) рублей </w:t>
      </w:r>
      <w:r>
        <w:rPr>
          <w:highlight w:val="lightGray"/>
        </w:rPr>
        <w:t>___</w:t>
      </w:r>
      <w:r>
        <w:rPr>
          <w:bCs/>
        </w:rPr>
        <w:t xml:space="preserve"> копеек, без учета НДС, при этом НДС исчисляется дополнительно по ставке, установленной статьей 164 Налогового кодекса РФ.</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Предельная цена Работ по выполнению Инженерных изысканий составляет </w:t>
      </w:r>
      <w:r>
        <w:rPr>
          <w:highlight w:val="lightGray"/>
        </w:rPr>
        <w:t>_______</w:t>
      </w:r>
      <w:r>
        <w:rPr/>
        <w:t xml:space="preserve"> </w:t>
      </w:r>
      <w:r>
        <w:rPr>
          <w:bCs/>
        </w:rPr>
        <w:t>(</w:t>
      </w:r>
      <w:r>
        <w:rPr>
          <w:highlight w:val="lightGray"/>
        </w:rPr>
        <w:t>_______________</w:t>
      </w:r>
      <w:r>
        <w:rPr>
          <w:bCs/>
        </w:rPr>
        <w:t xml:space="preserve">) рублей </w:t>
      </w:r>
      <w:r>
        <w:rPr>
          <w:highlight w:val="lightGray"/>
        </w:rPr>
        <w:t>___</w:t>
      </w:r>
      <w:r>
        <w:rPr>
          <w:bCs/>
        </w:rPr>
        <w:t xml:space="preserve"> копеек, без учета НДС, при этом НДС исчисляется дополнительно по ставке, установленной статьей 164 Налогового кодекса РФ.</w:t>
      </w:r>
    </w:p>
    <w:p>
      <w:pPr>
        <w:pStyle w:val="ListParagraph"/>
        <w:numPr>
          <w:ilvl w:val="1"/>
          <w:numId w:val="4"/>
        </w:numPr>
        <w:tabs>
          <w:tab w:val="clear" w:pos="708"/>
          <w:tab w:val="left" w:pos="1134" w:leader="none"/>
        </w:tabs>
        <w:ind w:left="0" w:firstLine="709"/>
        <w:jc w:val="both"/>
        <w:rPr>
          <w:highlight w:val="lightGray"/>
        </w:rPr>
      </w:pPr>
      <w:r>
        <w:rPr/>
        <w:t xml:space="preserve"> </w:t>
      </w:r>
      <w:r>
        <w:rPr>
          <w:highlight w:val="lightGray"/>
        </w:rPr>
        <w:t>Сметы являются неотъемлемой частью Сводной сметы с приложениями (Приложение № 3 к Договору)</w:t>
      </w:r>
      <w:bookmarkEnd w:id="9"/>
    </w:p>
    <w:p>
      <w:pPr>
        <w:pStyle w:val="ListParagraph"/>
        <w:numPr>
          <w:ilvl w:val="1"/>
          <w:numId w:val="4"/>
        </w:numPr>
        <w:shd w:val="clear" w:color="auto" w:fill="FFFFFF"/>
        <w:tabs>
          <w:tab w:val="clear" w:pos="708"/>
          <w:tab w:val="left" w:pos="1134" w:leader="none"/>
        </w:tabs>
        <w:ind w:left="0" w:firstLine="709"/>
        <w:jc w:val="both"/>
        <w:rPr/>
      </w:pPr>
      <w:r>
        <w:rPr>
          <w:bCs/>
        </w:rPr>
        <w:t>Цена Договора включает в себя прибыль Подрядчика, а также все расходы и затраты Подрядчика на:</w:t>
      </w:r>
    </w:p>
    <w:p>
      <w:pPr>
        <w:pStyle w:val="ListParagraph"/>
        <w:numPr>
          <w:ilvl w:val="2"/>
          <w:numId w:val="4"/>
        </w:numPr>
        <w:shd w:val="clear" w:color="auto" w:fill="FFFFFF"/>
        <w:tabs>
          <w:tab w:val="clear" w:pos="708"/>
          <w:tab w:val="left" w:pos="1418" w:leader="none"/>
        </w:tabs>
        <w:ind w:left="0" w:firstLine="709"/>
        <w:jc w:val="both"/>
        <w:rPr/>
      </w:pPr>
      <w:r>
        <w:rPr/>
        <w:t xml:space="preserve">Приобретение Материально-технических ресурсов </w:t>
      </w:r>
      <w:r>
        <w:rPr>
          <w:bCs/>
        </w:rPr>
        <w:t>и оборудования</w:t>
      </w:r>
      <w:r>
        <w:rPr/>
        <w:t>,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4"/>
        </w:numPr>
        <w:shd w:val="clear" w:color="auto" w:fill="FFFFFF"/>
        <w:tabs>
          <w:tab w:val="clear" w:pos="708"/>
          <w:tab w:val="left" w:pos="1418" w:leader="none"/>
        </w:tabs>
        <w:ind w:left="0" w:firstLine="709"/>
        <w:jc w:val="both"/>
        <w:rPr/>
      </w:pPr>
      <w:r>
        <w:rPr/>
        <w:t>Получение и оформление Исходно-разрешительной документации.</w:t>
      </w:r>
    </w:p>
    <w:p>
      <w:pPr>
        <w:pStyle w:val="ListParagraph"/>
        <w:numPr>
          <w:ilvl w:val="2"/>
          <w:numId w:val="4"/>
        </w:numPr>
        <w:shd w:val="clear" w:color="auto" w:fill="FFFFFF"/>
        <w:tabs>
          <w:tab w:val="clear" w:pos="708"/>
          <w:tab w:val="left" w:pos="1418" w:leader="none"/>
        </w:tabs>
        <w:ind w:left="0" w:firstLine="709"/>
        <w:jc w:val="both"/>
        <w:rPr/>
      </w:pPr>
      <w: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4"/>
        </w:numPr>
        <w:shd w:val="clear" w:color="auto" w:fill="FFFFFF"/>
        <w:tabs>
          <w:tab w:val="clear" w:pos="708"/>
          <w:tab w:val="left" w:pos="1418" w:leader="none"/>
        </w:tabs>
        <w:ind w:left="0" w:firstLine="709"/>
        <w:jc w:val="both"/>
        <w:rPr/>
      </w:pPr>
      <w:r>
        <w:rPr/>
        <w:t>Подлежащие уплате налоги, сборы и пошлины (в том числе по таможенному оформлению Материально-технических ресурсов</w:t>
      </w:r>
      <w:r>
        <w:rPr>
          <w:bCs/>
        </w:rPr>
        <w:t xml:space="preserve"> и оборудования</w:t>
      </w:r>
      <w:r>
        <w:rPr/>
        <w:t xml:space="preserve">, если применимо). </w:t>
      </w:r>
    </w:p>
    <w:p>
      <w:pPr>
        <w:pStyle w:val="ListParagraph"/>
        <w:numPr>
          <w:ilvl w:val="2"/>
          <w:numId w:val="4"/>
        </w:numPr>
        <w:ind w:left="0" w:firstLine="710"/>
        <w:jc w:val="both"/>
        <w:rPr/>
      </w:pPr>
      <w:r>
        <w:rPr/>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pPr>
        <w:pStyle w:val="ListParagraph"/>
        <w:numPr>
          <w:ilvl w:val="1"/>
          <w:numId w:val="4"/>
        </w:numPr>
        <w:shd w:val="clear" w:color="auto" w:fill="FFFFFF"/>
        <w:tabs>
          <w:tab w:val="clear" w:pos="708"/>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НДС,</w:t>
      </w:r>
      <w:r>
        <w:rPr>
          <w:bCs/>
          <w:sz w:val="28"/>
          <w:szCs w:val="28"/>
        </w:rPr>
        <w:t xml:space="preserve"> </w:t>
      </w:r>
      <w:r>
        <w:rPr>
          <w:bCs/>
        </w:rPr>
        <w:t>установленной статьей 164 Налогового кодекса РФ.</w:t>
      </w:r>
    </w:p>
    <w:p>
      <w:pPr>
        <w:pStyle w:val="ListParagraph"/>
        <w:numPr>
          <w:ilvl w:val="1"/>
          <w:numId w:val="4"/>
        </w:numPr>
        <w:shd w:val="clear" w:color="auto" w:fill="FFFFFF"/>
        <w:tabs>
          <w:tab w:val="clear" w:pos="708"/>
          <w:tab w:val="left" w:pos="1134" w:leader="none"/>
        </w:tabs>
        <w:ind w:left="0" w:firstLine="709"/>
        <w:jc w:val="both"/>
        <w:rPr>
          <w:bCs/>
        </w:rPr>
      </w:pPr>
      <w:bookmarkStart w:id="10" w:name="_Ref361834675"/>
      <w:bookmarkStart w:id="11" w:name="_Ref361858588"/>
      <w:r>
        <w:rPr>
          <w:bCs/>
        </w:rPr>
        <w:t>Оплата по Договору осуществляется Заказчиком в следующем порядке:</w:t>
      </w:r>
      <w:bookmarkEnd w:id="10"/>
      <w:bookmarkEnd w:id="11"/>
      <w:r>
        <w:rPr>
          <w:bCs/>
        </w:rPr>
        <w:t xml:space="preserve"> </w:t>
      </w:r>
    </w:p>
    <w:p>
      <w:pPr>
        <w:pStyle w:val="ListParagraph"/>
        <w:numPr>
          <w:ilvl w:val="2"/>
          <w:numId w:val="4"/>
        </w:numPr>
        <w:shd w:val="clear" w:color="auto" w:fill="FFFFFF"/>
        <w:tabs>
          <w:tab w:val="clear" w:pos="708"/>
          <w:tab w:val="left" w:pos="1418" w:leader="none"/>
        </w:tabs>
        <w:ind w:left="0" w:firstLine="709"/>
        <w:jc w:val="both"/>
        <w:rPr/>
      </w:pPr>
      <w:bookmarkStart w:id="12" w:name="_Ref361335057"/>
      <w:bookmarkStart w:id="13" w:name="_Ref373242755"/>
      <w:bookmarkEnd w:id="12"/>
      <w:bookmarkEnd w:id="13"/>
      <w:r>
        <w:rPr/>
        <w:t>Подрядчик не позднее 3 (трех) рабочих дней до предполагаемой даты выплаты авансового платежа, обязан предоставить Заказчику Независимую гарантию, соответствующую требованиям, установленным разделом 6 Договора и предварительно согласованную с Заказчиком.</w:t>
      </w:r>
    </w:p>
    <w:p>
      <w:pPr>
        <w:pStyle w:val="ListParagraph"/>
        <w:numPr>
          <w:ilvl w:val="2"/>
          <w:numId w:val="4"/>
        </w:numPr>
        <w:shd w:val="clear" w:color="auto" w:fill="FFFFFF"/>
        <w:tabs>
          <w:tab w:val="clear" w:pos="708"/>
          <w:tab w:val="left" w:pos="1418" w:leader="none"/>
        </w:tabs>
        <w:ind w:left="0" w:firstLine="710"/>
        <w:jc w:val="both"/>
        <w:rPr/>
      </w:pPr>
      <w:bookmarkStart w:id="14" w:name="_Ref361834178"/>
      <w:bookmarkStart w:id="15" w:name="_Ref373242766"/>
      <w:bookmarkStart w:id="16" w:name="_Ref3613350571"/>
      <w:bookmarkStart w:id="17" w:name="_Ref3732427551"/>
      <w:bookmarkEnd w:id="16"/>
      <w:bookmarkEnd w:id="17"/>
      <w:r>
        <w:rPr/>
        <w:t xml:space="preserve">Авансовые платежи в счет стоимости каждого Этапа Работ рассчитываются в размере 30% (тридцати процентов) от стоимости соответствующего Этапа Работ без учета НДС, кроме того НДС </w:t>
      </w:r>
      <w:r>
        <w:rPr>
          <w:bCs/>
        </w:rPr>
        <w:t xml:space="preserve">по ставке, установленной статьей 164 Налогового кодекса РФ, </w:t>
      </w:r>
      <w:r>
        <w:rPr/>
        <w:t>и выплачиваются в течение 30 (тридцати) рабочих дней с даты получения Заказчиком счета, выставленного Подрядчиком, но не ранее, чем за 30 (тридцать) календарных дней до даты начала Этапа Работ, определенной в соответствии с Календарным графиком выполнения Работ (Приложение № 2 к Договору),  и с учетом пунктов 3.5.1, 3.5.5 Договора.</w:t>
      </w:r>
      <w:bookmarkEnd w:id="15"/>
    </w:p>
    <w:p>
      <w:pPr>
        <w:pStyle w:val="ListParagraph"/>
        <w:numPr>
          <w:ilvl w:val="2"/>
          <w:numId w:val="4"/>
        </w:numPr>
        <w:shd w:val="clear" w:color="auto" w:fill="FFFFFF"/>
        <w:tabs>
          <w:tab w:val="clear" w:pos="708"/>
          <w:tab w:val="left" w:pos="1418" w:leader="none"/>
        </w:tabs>
        <w:ind w:left="0" w:firstLine="709"/>
        <w:jc w:val="both"/>
        <w:rPr/>
      </w:pPr>
      <w:r>
        <w:rPr/>
        <w:t>Последующие платежи в размере разницы между стоимостью каждого Этапа Работ по выполнению Инженерных изысканий, определенной на основании Исполнительной сметы, составленной в соответствии с пунктом 4.2 Договора, либо Предварительной сметы (в случае отсутствия Исполнительной сметы) с учетом НДС</w:t>
      </w:r>
      <w:r>
        <w:rPr>
          <w:bCs/>
        </w:rPr>
        <w:t xml:space="preserve"> по ставке, установленной статьей 164 Налогового кодекса РФ на дату подписания Сторонами документов, указанных в п. 4.1 Договора,</w:t>
      </w:r>
      <w:r>
        <w:rPr/>
        <w:t xml:space="preserve"> </w:t>
      </w:r>
      <w:r>
        <w:rPr>
          <w:bCs/>
        </w:rPr>
        <w:t>и суммой авансового платежа, ранее уплаченного</w:t>
      </w:r>
      <w:r>
        <w:rPr/>
        <w:t xml:space="preserve"> в соответствии с пунктом 3.5.2 Договора,</w:t>
      </w:r>
      <w:r>
        <w:rPr>
          <w:bCs/>
        </w:rPr>
        <w:t xml:space="preserve"> </w:t>
      </w:r>
      <w:r>
        <w:rPr/>
        <w:t>выплачиваются в течение 7 (семи) рабочих дней с даты подписания Сторонами документов, указанных в пункте 4.1 Договора, на основании счета, выставленного Подрядчиком, и с учетом пунктов 3.5.5</w:t>
      </w:r>
      <w:r>
        <w:rPr>
          <w:highlight w:val="lightGray"/>
        </w:rPr>
        <w:t>, 3.5.6</w:t>
      </w:r>
      <w:r>
        <w:rPr/>
        <w:t xml:space="preserve"> Договора. </w:t>
      </w:r>
    </w:p>
    <w:p>
      <w:pPr>
        <w:pStyle w:val="ListParagraph"/>
        <w:numPr>
          <w:ilvl w:val="2"/>
          <w:numId w:val="4"/>
        </w:numPr>
        <w:shd w:val="clear" w:color="auto" w:fill="FFFFFF"/>
        <w:tabs>
          <w:tab w:val="clear" w:pos="708"/>
          <w:tab w:val="left" w:pos="1418" w:leader="none"/>
        </w:tabs>
        <w:ind w:left="0" w:firstLine="709"/>
        <w:jc w:val="both"/>
        <w:rPr/>
      </w:pPr>
      <w:r>
        <w:rPr/>
        <w:t>Последующие платежи в размере разницы между стоимостью каждого Этапа Работ (кроме Работ по выполнению Инженерных изысканий), определенной с учетом НДС</w:t>
      </w:r>
      <w:r>
        <w:rPr>
          <w:bCs/>
        </w:rPr>
        <w:t xml:space="preserve"> по ставке, установленной статьей 164 Налогового кодекса РФ на дату подписания Сторонами документов, указанных в пункте 4.1 Договора</w:t>
      </w:r>
      <w:r>
        <w:rPr/>
        <w:t xml:space="preserve"> и </w:t>
      </w:r>
      <w:r>
        <w:rPr>
          <w:bCs/>
        </w:rPr>
        <w:t>суммой авансового платежа, ранее уплаченного</w:t>
      </w:r>
      <w:r>
        <w:rPr/>
        <w:t xml:space="preserve"> в соответствии с пунктом 3.5.2 Договора,</w:t>
      </w:r>
      <w:r>
        <w:rPr>
          <w:bCs/>
        </w:rPr>
        <w:t xml:space="preserve"> </w:t>
      </w:r>
      <w:r>
        <w:rPr/>
        <w:t>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пунктов 3.5.5</w:t>
      </w:r>
      <w:r>
        <w:rPr>
          <w:highlight w:val="lightGray"/>
        </w:rPr>
        <w:t>, 3.5.6</w:t>
      </w:r>
      <w:r>
        <w:rPr/>
        <w:t xml:space="preserve"> Договора. </w:t>
      </w:r>
    </w:p>
    <w:p>
      <w:pPr>
        <w:pStyle w:val="ListParagraph"/>
        <w:numPr>
          <w:ilvl w:val="2"/>
          <w:numId w:val="4"/>
        </w:numPr>
        <w:shd w:val="clear" w:color="auto" w:fill="FFFFFF"/>
        <w:tabs>
          <w:tab w:val="clear" w:pos="708"/>
          <w:tab w:val="left" w:pos="1418" w:leader="none"/>
        </w:tabs>
        <w:ind w:left="0" w:firstLine="709"/>
        <w:jc w:val="both"/>
        <w:rPr/>
      </w:pPr>
      <w:bookmarkStart w:id="18" w:name="_Ref361834178"/>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8"/>
    </w:p>
    <w:p>
      <w:pPr>
        <w:pStyle w:val="ListParagraph"/>
        <w:numPr>
          <w:ilvl w:val="2"/>
          <w:numId w:val="4"/>
        </w:numPr>
        <w:shd w:val="clear" w:color="auto" w:fill="FFFFFF"/>
        <w:tabs>
          <w:tab w:val="clear" w:pos="708"/>
          <w:tab w:val="left" w:pos="709" w:leader="none"/>
        </w:tabs>
        <w:ind w:left="0" w:firstLine="709"/>
        <w:jc w:val="both"/>
        <w:rPr>
          <w:bCs/>
        </w:rPr>
      </w:pPr>
      <w:r>
        <w:rPr>
          <w:bCs/>
        </w:rPr>
        <w:t>Заказчик вправе не выплачивать предварит</w:t>
      </w:r>
      <w:bookmarkStart w:id="19" w:name="_GoBack"/>
      <w:bookmarkEnd w:id="19"/>
      <w:r>
        <w:rPr>
          <w:bCs/>
        </w:rPr>
        <w:t xml:space="preserve">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pPr>
        <w:pStyle w:val="ListParagraph"/>
        <w:numPr>
          <w:ilvl w:val="1"/>
          <w:numId w:val="4"/>
        </w:numPr>
        <w:shd w:val="clear" w:color="auto" w:fill="FFFFFF"/>
        <w:tabs>
          <w:tab w:val="clear" w:pos="708"/>
          <w:tab w:val="left" w:pos="1134" w:leader="none"/>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0" w:name="_Ref361336647"/>
      <w:bookmarkEnd w:id="20"/>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За исключением случая, указанного в пункте 2.3.19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shd w:val="clear" w:color="auto" w:fill="FFFFFF"/>
        <w:tabs>
          <w:tab w:val="clear" w:pos="708"/>
          <w:tab w:val="left" w:pos="1134" w:leader="none"/>
          <w:tab w:val="left" w:pos="1418" w:leader="none"/>
        </w:tabs>
        <w:ind w:left="0" w:firstLine="709"/>
        <w:jc w:val="both"/>
        <w:rPr>
          <w:bCs/>
        </w:rPr>
      </w:pPr>
      <w:bookmarkStart w:id="21" w:name="_Ref361834251"/>
      <w:bookmarkStart w:id="22" w:name="_Ref361335023"/>
      <w:bookmarkEnd w:id="22"/>
      <w:r>
        <w:rPr>
          <w:bCs/>
        </w:rPr>
        <w:t xml:space="preserve">3.11.  Индексация Цены Договора не допускается. </w:t>
      </w:r>
      <w:bookmarkEnd w:id="21"/>
    </w:p>
    <w:p>
      <w:pPr>
        <w:pStyle w:val="Normal"/>
        <w:spacing w:lineRule="auto" w:line="240"/>
        <w:ind w:firstLine="709"/>
        <w:rPr>
          <w:sz w:val="24"/>
          <w:szCs w:val="24"/>
        </w:rPr>
      </w:pPr>
      <w:r>
        <w:rPr>
          <w:sz w:val="24"/>
          <w:szCs w:val="24"/>
        </w:rPr>
        <w:t>3.12.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pPr>
        <w:pStyle w:val="Normal"/>
        <w:spacing w:lineRule="auto" w:line="240"/>
        <w:ind w:firstLine="709"/>
        <w:rPr>
          <w:shd w:fill="FFFF00" w:val="clear"/>
        </w:rPr>
      </w:pPr>
      <w:r>
        <w:rPr>
          <w:bCs/>
          <w:sz w:val="24"/>
          <w:szCs w:val="24"/>
        </w:rPr>
        <w:t>Заказчик направляет Подрядчику уведомление о проведении сальдо взаимных обязательств Сторон по Договору.</w:t>
      </w:r>
    </w:p>
    <w:p>
      <w:pPr>
        <w:pStyle w:val="ListParagraph"/>
        <w:shd w:val="clear" w:color="auto" w:fill="FFFFFF"/>
        <w:tabs>
          <w:tab w:val="clear" w:pos="708"/>
          <w:tab w:val="left" w:pos="1134" w:leader="none"/>
        </w:tabs>
        <w:ind w:left="0" w:firstLine="567"/>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b/>
          <w:bCs/>
        </w:rPr>
      </w:pPr>
      <w:r>
        <w:rPr>
          <w:b/>
          <w:bCs/>
        </w:rPr>
        <w:t>Порядок сдачи-приемки Работ</w:t>
      </w:r>
    </w:p>
    <w:p>
      <w:pPr>
        <w:pStyle w:val="ListParagraph"/>
        <w:numPr>
          <w:ilvl w:val="1"/>
          <w:numId w:val="4"/>
        </w:numPr>
        <w:shd w:val="clear" w:color="auto" w:fill="FFFFFF"/>
        <w:tabs>
          <w:tab w:val="clear" w:pos="708"/>
          <w:tab w:val="left" w:pos="0" w:leader="none"/>
          <w:tab w:val="left" w:pos="1134" w:leader="none"/>
        </w:tabs>
        <w:ind w:left="0" w:firstLine="709"/>
        <w:jc w:val="both"/>
        <w:rPr>
          <w:bCs/>
        </w:rPr>
      </w:pPr>
      <w:bookmarkStart w:id="23" w:name="_Ref373242517"/>
      <w:bookmarkStart w:id="24" w:name="_Ref361335138"/>
      <w:bookmarkStart w:id="25" w:name="_Ref361336754"/>
      <w:r>
        <w:rPr>
          <w:bCs/>
        </w:rPr>
        <w:t>По завершении выполнения Работ по каждому Этапу Работ (</w:t>
      </w:r>
      <w:r>
        <w:rPr/>
        <w:t>кроме Этапов Работ по выполнению Инженерных изысканий</w:t>
      </w:r>
      <w:r>
        <w:rPr>
          <w:bCs/>
        </w:rPr>
        <w:t>), 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pPr>
        <w:pStyle w:val="ListParagraph"/>
        <w:shd w:val="clear" w:color="auto" w:fill="FFFFFF"/>
        <w:tabs>
          <w:tab w:val="clear" w:pos="708"/>
          <w:tab w:val="left" w:pos="0" w:leader="none"/>
        </w:tabs>
        <w:ind w:left="0" w:firstLine="709"/>
        <w:jc w:val="both"/>
        <w:rPr>
          <w:bCs/>
        </w:rPr>
      </w:pPr>
      <w:r>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pPr>
        <w:pStyle w:val="ListParagraph"/>
        <w:numPr>
          <w:ilvl w:val="1"/>
          <w:numId w:val="4"/>
        </w:numPr>
        <w:shd w:val="clear" w:color="auto" w:fill="FFFFFF"/>
        <w:tabs>
          <w:tab w:val="clear" w:pos="708"/>
          <w:tab w:val="left" w:pos="0" w:leader="none"/>
          <w:tab w:val="left" w:pos="1134" w:leader="none"/>
        </w:tabs>
        <w:ind w:left="0" w:firstLine="709"/>
        <w:jc w:val="both"/>
        <w:rPr>
          <w:bCs/>
        </w:rPr>
      </w:pPr>
      <w:r>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pPr>
        <w:pStyle w:val="ListParagraph"/>
        <w:numPr>
          <w:ilvl w:val="2"/>
          <w:numId w:val="21"/>
        </w:numPr>
        <w:shd w:val="clear" w:color="auto" w:fill="FFFFFF"/>
        <w:tabs>
          <w:tab w:val="clear" w:pos="708"/>
          <w:tab w:val="left" w:pos="0" w:leader="none"/>
          <w:tab w:val="left" w:pos="1418" w:leader="none"/>
        </w:tabs>
        <w:ind w:left="0" w:firstLine="709"/>
        <w:jc w:val="both"/>
        <w:rPr>
          <w:bCs/>
        </w:rPr>
      </w:pPr>
      <w:r>
        <w:rPr>
          <w:bCs/>
        </w:rPr>
        <w:t>Исполнительную смету в 2 (двух) экземплярах;</w:t>
      </w:r>
    </w:p>
    <w:p>
      <w:pPr>
        <w:pStyle w:val="ListParagraph"/>
        <w:numPr>
          <w:ilvl w:val="2"/>
          <w:numId w:val="21"/>
        </w:numPr>
        <w:shd w:val="clear" w:color="auto" w:fill="FFFFFF"/>
        <w:tabs>
          <w:tab w:val="clear" w:pos="708"/>
          <w:tab w:val="left" w:pos="1418" w:leader="none"/>
        </w:tabs>
        <w:ind w:left="0" w:firstLine="709"/>
        <w:jc w:val="both"/>
        <w:rPr>
          <w:bCs/>
        </w:rPr>
      </w:pPr>
      <w:r>
        <w:rPr>
          <w:bCs/>
        </w:rPr>
        <w:t>Акт сдачи-приемки выполненных работ по форме Приложения № 7 к Договору в 2 (двух) экземплярах с приложением Результата работ по соответствующему Этапу Работ</w:t>
      </w:r>
      <w:r>
        <w:rPr/>
        <w:t>.</w:t>
      </w:r>
      <w:bookmarkEnd w:id="23"/>
      <w:bookmarkEnd w:id="24"/>
      <w:bookmarkEnd w:id="25"/>
    </w:p>
    <w:p>
      <w:pPr>
        <w:pStyle w:val="ListParagraph"/>
        <w:shd w:val="clear" w:color="auto" w:fill="FFFFFF"/>
        <w:tabs>
          <w:tab w:val="clear" w:pos="708"/>
          <w:tab w:val="left" w:pos="1134" w:leader="none"/>
        </w:tabs>
        <w:ind w:left="0" w:firstLine="709"/>
        <w:jc w:val="both"/>
        <w:rPr>
          <w:bCs/>
        </w:rPr>
      </w:pPr>
      <w:r>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pPr>
        <w:pStyle w:val="ListParagraph"/>
        <w:numPr>
          <w:ilvl w:val="1"/>
          <w:numId w:val="4"/>
        </w:numPr>
        <w:shd w:val="clear" w:color="auto" w:fill="FFFFFF"/>
        <w:tabs>
          <w:tab w:val="clear" w:pos="708"/>
          <w:tab w:val="left" w:pos="568" w:leader="none"/>
          <w:tab w:val="left" w:pos="1134" w:leader="none"/>
        </w:tabs>
        <w:ind w:left="0" w:firstLine="709"/>
        <w:jc w:val="both"/>
        <w:rPr>
          <w:bCs/>
        </w:rPr>
      </w:pPr>
      <w:r>
        <w:rPr>
          <w:bCs/>
        </w:rPr>
        <w:t>В течение 15 (пятнадцати) рабочих дней с даты получения полного комплекта документов, указанных в пунктах 4.1, 4.2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 / или Исполнительной сметы (если применимо), а также срок на их устранение.</w:t>
      </w:r>
      <w:r>
        <w:rPr/>
        <w:t xml:space="preserve"> </w:t>
      </w:r>
    </w:p>
    <w:p>
      <w:pPr>
        <w:pStyle w:val="ListParagraph"/>
        <w:numPr>
          <w:ilvl w:val="1"/>
          <w:numId w:val="4"/>
        </w:numPr>
        <w:shd w:val="clear" w:color="auto" w:fill="FFFFFF"/>
        <w:tabs>
          <w:tab w:val="clear" w:pos="708"/>
          <w:tab w:val="left" w:pos="568" w:leader="none"/>
          <w:tab w:val="left" w:pos="1134" w:leader="none"/>
        </w:tabs>
        <w:ind w:left="0" w:firstLine="709"/>
        <w:jc w:val="both"/>
        <w:rPr>
          <w:bCs/>
        </w:rPr>
      </w:pPr>
      <w:r>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4"/>
        </w:numPr>
        <w:shd w:val="clear" w:color="auto" w:fill="FFFFFF"/>
        <w:tabs>
          <w:tab w:val="clear" w:pos="708"/>
          <w:tab w:val="left" w:pos="1134" w:leader="none"/>
        </w:tabs>
        <w:ind w:left="0" w:firstLine="709"/>
        <w:jc w:val="both"/>
        <w:rPr>
          <w:bCs/>
        </w:rPr>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pPr>
        <w:pStyle w:val="ListParagraph"/>
        <w:numPr>
          <w:ilvl w:val="1"/>
          <w:numId w:val="4"/>
        </w:numPr>
        <w:shd w:val="clear" w:color="auto" w:fill="FFFFFF"/>
        <w:tabs>
          <w:tab w:val="clear" w:pos="708"/>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4"/>
        </w:numPr>
        <w:shd w:val="clear" w:color="auto" w:fill="FFFFFF"/>
        <w:tabs>
          <w:tab w:val="clear" w:pos="708"/>
          <w:tab w:val="left" w:pos="1134" w:leader="none"/>
        </w:tabs>
        <w:ind w:left="0" w:firstLine="709"/>
        <w:jc w:val="both"/>
        <w:rPr>
          <w:bCs/>
        </w:rPr>
      </w:pPr>
      <w:bookmarkStart w:id="26" w:name="_Ref361337635"/>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pPr>
        <w:pStyle w:val="ListParagraph"/>
        <w:shd w:val="clear" w:color="auto" w:fill="FFFFFF"/>
        <w:tabs>
          <w:tab w:val="clear" w:pos="708"/>
          <w:tab w:val="left" w:pos="1134" w:leader="none"/>
        </w:tabs>
        <w:ind w:left="567" w:hanging="0"/>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b/>
          <w:bCs/>
        </w:rPr>
      </w:pPr>
      <w:r>
        <w:rPr>
          <w:b/>
          <w:bCs/>
        </w:rPr>
        <w:t>Право собственности и переход рисков</w:t>
      </w:r>
    </w:p>
    <w:p>
      <w:pPr>
        <w:pStyle w:val="ListParagraph"/>
        <w:numPr>
          <w:ilvl w:val="1"/>
          <w:numId w:val="4"/>
        </w:numPr>
        <w:shd w:val="clear" w:color="auto" w:fill="FFFFFF"/>
        <w:tabs>
          <w:tab w:val="clear" w:pos="708"/>
          <w:tab w:val="left" w:pos="1134" w:leader="none"/>
        </w:tabs>
        <w:ind w:left="0" w:firstLine="709"/>
        <w:jc w:val="both"/>
        <w:rPr>
          <w:bCs/>
        </w:rPr>
      </w:pPr>
      <w:bookmarkStart w:id="27" w:name="_Ref361405028"/>
      <w:r>
        <w:rPr>
          <w:bCs/>
        </w:rPr>
        <w:t>Право собственности, риск случайной гибели или повреждения Результата Работ переходит к Заказчику с момента подписания Сторонами Акта сдачи-приемки выполненных работ по форме Приложения № 7 к Договору по соответствующему Этапу Работ.</w:t>
      </w:r>
      <w:bookmarkEnd w:id="27"/>
    </w:p>
    <w:p>
      <w:pPr>
        <w:pStyle w:val="ListParagraph"/>
        <w:shd w:val="clear" w:color="auto" w:fill="FFFFFF"/>
        <w:tabs>
          <w:tab w:val="clear" w:pos="708"/>
          <w:tab w:val="left" w:pos="0" w:leader="none"/>
          <w:tab w:val="left" w:pos="1134" w:leader="none"/>
        </w:tabs>
        <w:ind w:left="0" w:firstLine="709"/>
        <w:jc w:val="both"/>
        <w:rPr>
          <w:bCs/>
        </w:rPr>
      </w:pPr>
      <w:r>
        <w:rPr>
          <w:bCs/>
        </w:rPr>
      </w:r>
    </w:p>
    <w:p>
      <w:pPr>
        <w:pStyle w:val="ListParagraph"/>
        <w:numPr>
          <w:ilvl w:val="0"/>
          <w:numId w:val="4"/>
        </w:numPr>
        <w:shd w:val="clear" w:color="auto" w:fill="FFFFFF"/>
        <w:tabs>
          <w:tab w:val="clear" w:pos="708"/>
          <w:tab w:val="left" w:pos="284" w:leader="none"/>
        </w:tabs>
        <w:jc w:val="center"/>
        <w:rPr/>
      </w:pPr>
      <w:r>
        <w:rPr>
          <w:b/>
        </w:rPr>
        <w:t>Независимая гарантия</w:t>
      </w:r>
    </w:p>
    <w:p>
      <w:pPr>
        <w:pStyle w:val="ListParagraph"/>
        <w:numPr>
          <w:ilvl w:val="1"/>
          <w:numId w:val="4"/>
        </w:numPr>
        <w:tabs>
          <w:tab w:val="clear" w:pos="708"/>
          <w:tab w:val="left" w:pos="1134" w:leader="none"/>
        </w:tabs>
        <w:ind w:left="0" w:firstLine="709"/>
        <w:jc w:val="both"/>
        <w:rPr/>
      </w:pPr>
      <w:r>
        <w:rPr>
          <w:bCs/>
        </w:rPr>
        <w:t>Независимая гарантия должна соответствовать следующим требованиям:</w:t>
      </w:r>
    </w:p>
    <w:p>
      <w:pPr>
        <w:pStyle w:val="ListParagraph"/>
        <w:numPr>
          <w:ilvl w:val="0"/>
          <w:numId w:val="22"/>
        </w:numPr>
        <w:tabs>
          <w:tab w:val="clear" w:pos="708"/>
          <w:tab w:val="left" w:pos="1134" w:leader="none"/>
        </w:tabs>
        <w:spacing w:lineRule="auto" w:line="259" w:before="0" w:after="160"/>
        <w:ind w:left="0" w:firstLine="567"/>
        <w:contextualSpacing/>
        <w:jc w:val="both"/>
        <w:rPr/>
      </w:pPr>
      <w:r>
        <w:rPr>
          <w:bCs/>
        </w:rPr>
        <w:t>Независимая гарантия не может быть отозвана выдавшим ее Гарантом;</w:t>
      </w:r>
    </w:p>
    <w:p>
      <w:pPr>
        <w:pStyle w:val="ListParagraph"/>
        <w:numPr>
          <w:ilvl w:val="0"/>
          <w:numId w:val="22"/>
        </w:numPr>
        <w:tabs>
          <w:tab w:val="clear" w:pos="708"/>
          <w:tab w:val="left" w:pos="1134" w:leader="none"/>
        </w:tabs>
        <w:spacing w:lineRule="auto" w:line="259" w:before="0" w:after="160"/>
        <w:ind w:left="0" w:firstLine="567"/>
        <w:contextualSpacing/>
        <w:jc w:val="both"/>
        <w:rPr/>
      </w:pPr>
      <w:r>
        <w:rPr>
          <w:bCs/>
        </w:rPr>
        <w:t>Бенефициар по Независимой гарантии – Заказчик, принципал – Исполнитель;</w:t>
      </w:r>
    </w:p>
    <w:p>
      <w:pPr>
        <w:pStyle w:val="ListParagraph"/>
        <w:numPr>
          <w:ilvl w:val="0"/>
          <w:numId w:val="22"/>
        </w:numPr>
        <w:tabs>
          <w:tab w:val="clear" w:pos="708"/>
          <w:tab w:val="left" w:pos="1134" w:leader="none"/>
        </w:tabs>
        <w:spacing w:lineRule="auto" w:line="259" w:before="0" w:after="160"/>
        <w:ind w:left="0" w:firstLine="567"/>
        <w:contextualSpacing/>
        <w:jc w:val="both"/>
        <w:rPr/>
      </w:pPr>
      <w:r>
        <w:rPr>
          <w:bCs/>
        </w:rPr>
        <w:t>сумма Независимой гарантии должна быть выражена в валюте расчетов по Договору;</w:t>
      </w:r>
    </w:p>
    <w:p>
      <w:pPr>
        <w:pStyle w:val="ListParagraph"/>
        <w:numPr>
          <w:ilvl w:val="0"/>
          <w:numId w:val="22"/>
        </w:numPr>
        <w:shd w:val="clear" w:color="auto" w:fill="FFFFFF"/>
        <w:tabs>
          <w:tab w:val="clear" w:pos="708"/>
          <w:tab w:val="left" w:pos="1134" w:leader="none"/>
          <w:tab w:val="left" w:pos="1418" w:leader="none"/>
        </w:tabs>
        <w:ind w:left="0" w:firstLine="567"/>
        <w:jc w:val="both"/>
        <w:rPr/>
      </w:pPr>
      <w:r>
        <w:rPr>
          <w:bCs/>
        </w:rPr>
        <w:t xml:space="preserve">сумма Независимой гарантии по Договору - </w:t>
      </w:r>
      <w:r>
        <w:rPr/>
        <w:t>не менее 100 (Ста) процентов от суммы уплачиваемого по Договору аванса в совокупной сумме с учетом ранее выплаченных Исполнителю и неотработанных авансовых платежей;</w:t>
      </w:r>
    </w:p>
    <w:p>
      <w:pPr>
        <w:pStyle w:val="ListParagraph"/>
        <w:numPr>
          <w:ilvl w:val="0"/>
          <w:numId w:val="22"/>
        </w:numPr>
        <w:shd w:val="clear" w:color="auto" w:fill="FFFFFF"/>
        <w:tabs>
          <w:tab w:val="clear" w:pos="708"/>
          <w:tab w:val="left" w:pos="1134" w:leader="none"/>
        </w:tabs>
        <w:ind w:left="0" w:firstLine="567"/>
        <w:jc w:val="both"/>
        <w:rPr/>
      </w:pPr>
      <w:r>
        <w:rPr>
          <w:bCs/>
        </w:rPr>
        <w:t>срок окончания Независимой гарантии  по Договору – не ранее 70 (семидесяти) календарных дней после наступления даты завершения Этапа Услуг, установленной Договором.</w:t>
      </w:r>
    </w:p>
    <w:p>
      <w:pPr>
        <w:pStyle w:val="Normal"/>
        <w:tabs>
          <w:tab w:val="clear" w:pos="708"/>
          <w:tab w:val="left" w:pos="1134" w:leader="none"/>
        </w:tabs>
        <w:spacing w:lineRule="auto" w:line="240"/>
        <w:rPr/>
      </w:pPr>
      <w:r>
        <w:rPr>
          <w:bCs/>
          <w:sz w:val="24"/>
          <w:szCs w:val="24"/>
        </w:rPr>
        <w:t xml:space="preserve">              </w:t>
      </w:r>
      <w:r>
        <w:rPr>
          <w:bCs/>
          <w:sz w:val="24"/>
          <w:szCs w:val="24"/>
        </w:rPr>
        <w:t xml:space="preserve">Сумма Независимой гарантии </w:t>
      </w:r>
      <w:r>
        <w:rPr>
          <w:sz w:val="24"/>
          <w:szCs w:val="24"/>
        </w:rPr>
        <w:t xml:space="preserve"> </w:t>
      </w:r>
      <w:r>
        <w:rPr>
          <w:bCs/>
          <w:sz w:val="24"/>
          <w:szCs w:val="24"/>
        </w:rPr>
        <w:t>по согласованию с Заказчиком может быть уменьшена пропорционально сумме выполненных Исполнителем обязательств по Договору / соответствующему этапу Договора при условии подтверждения их выполнения.</w:t>
      </w:r>
    </w:p>
    <w:p>
      <w:pPr>
        <w:pStyle w:val="Normal"/>
        <w:shd w:val="clear" w:color="auto" w:fill="FFFFFF"/>
        <w:tabs>
          <w:tab w:val="clear" w:pos="708"/>
          <w:tab w:val="left" w:pos="1134" w:leader="none"/>
        </w:tabs>
        <w:spacing w:lineRule="auto" w:line="240"/>
        <w:rPr/>
      </w:pPr>
      <w:r>
        <w:rPr>
          <w:bCs/>
          <w:sz w:val="24"/>
          <w:szCs w:val="24"/>
        </w:rPr>
        <w:t>В случае увеличения Цены Договора и, как следствие, суммы авансового платежа и/или продления срока выполнения Исполнителем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pPr>
        <w:pStyle w:val="ListParagraph"/>
        <w:numPr>
          <w:ilvl w:val="1"/>
          <w:numId w:val="4"/>
        </w:numPr>
        <w:tabs>
          <w:tab w:val="clear" w:pos="708"/>
          <w:tab w:val="left" w:pos="1134" w:leader="none"/>
        </w:tabs>
        <w:ind w:left="0" w:firstLine="709"/>
        <w:jc w:val="both"/>
        <w:rPr/>
      </w:pPr>
      <w:r>
        <w:rPr>
          <w:bCs/>
        </w:rPr>
        <w:t>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содержать следующие дополнительные требования:</w:t>
      </w:r>
    </w:p>
    <w:p>
      <w:pPr>
        <w:pStyle w:val="ListParagraph"/>
        <w:tabs>
          <w:tab w:val="clear" w:pos="708"/>
          <w:tab w:val="left" w:pos="1134" w:leader="none"/>
        </w:tabs>
        <w:ind w:left="0" w:firstLine="709"/>
        <w:jc w:val="both"/>
        <w:rPr/>
      </w:pPr>
      <w:r>
        <w:rPr>
          <w:bCs/>
        </w:rPr>
        <w:t>а) условие о праве Бенефициара предъявлять до окончания срока действия Независимой гарантии в случае неисполнения или ненадлежащего исполнения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Исполнителем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pPr>
        <w:pStyle w:val="ListParagraph"/>
        <w:tabs>
          <w:tab w:val="clear" w:pos="708"/>
          <w:tab w:val="left" w:pos="1134" w:leader="none"/>
        </w:tabs>
        <w:ind w:left="0" w:firstLine="709"/>
        <w:jc w:val="both"/>
        <w:rPr/>
      </w:pPr>
      <w:r>
        <w:rPr>
          <w:bCs/>
        </w:rPr>
        <w:t>б)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pPr>
        <w:pStyle w:val="ListParagraph"/>
        <w:numPr>
          <w:ilvl w:val="1"/>
          <w:numId w:val="4"/>
        </w:numPr>
        <w:tabs>
          <w:tab w:val="clear" w:pos="708"/>
          <w:tab w:val="left" w:pos="1134" w:leader="none"/>
        </w:tabs>
        <w:ind w:left="0" w:firstLine="709"/>
        <w:jc w:val="both"/>
        <w:rPr/>
      </w:pPr>
      <w:r>
        <w:rPr/>
        <w:t>Выбор формы направления требования, указанного в подпунктах «а» и «б» пункта 5.2 Договора, осуществляется Бенефициаром самостоятельно.</w:t>
      </w:r>
    </w:p>
    <w:p>
      <w:pPr>
        <w:pStyle w:val="ListParagraph"/>
        <w:numPr>
          <w:ilvl w:val="1"/>
          <w:numId w:val="4"/>
        </w:numPr>
        <w:tabs>
          <w:tab w:val="clear" w:pos="708"/>
          <w:tab w:val="left" w:pos="1134" w:leader="none"/>
        </w:tabs>
        <w:ind w:left="0" w:firstLine="709"/>
        <w:jc w:val="both"/>
        <w:rPr/>
      </w:pPr>
      <w:r>
        <w:rPr>
          <w:bCs/>
        </w:rPr>
        <w:t>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pPr>
        <w:pStyle w:val="ListParagraph"/>
        <w:numPr>
          <w:ilvl w:val="0"/>
          <w:numId w:val="23"/>
        </w:numPr>
        <w:tabs>
          <w:tab w:val="clear" w:pos="708"/>
          <w:tab w:val="left" w:pos="1134" w:leader="none"/>
        </w:tabs>
        <w:spacing w:lineRule="auto" w:line="259"/>
        <w:jc w:val="both"/>
        <w:rPr/>
      </w:pPr>
      <w:r>
        <w:rPr>
          <w:bCs/>
        </w:rPr>
        <w:t>расчет суммы, включаемой в требование об уплате денежной суммы по Независимой гарантии;</w:t>
      </w:r>
    </w:p>
    <w:p>
      <w:pPr>
        <w:pStyle w:val="ListParagraph"/>
        <w:numPr>
          <w:ilvl w:val="0"/>
          <w:numId w:val="23"/>
        </w:numPr>
        <w:tabs>
          <w:tab w:val="clear" w:pos="708"/>
          <w:tab w:val="left" w:pos="1134" w:leader="none"/>
        </w:tabs>
        <w:spacing w:lineRule="auto" w:line="259"/>
        <w:jc w:val="both"/>
        <w:rPr/>
      </w:pPr>
      <w:r>
        <w:rPr>
          <w:bCs/>
        </w:rPr>
        <w:t>документ, содержащий указание на нарушения Принципалом обязательств, предусмотренных Договором;</w:t>
      </w:r>
    </w:p>
    <w:p>
      <w:pPr>
        <w:pStyle w:val="ListParagraph"/>
        <w:numPr>
          <w:ilvl w:val="0"/>
          <w:numId w:val="23"/>
        </w:numPr>
        <w:tabs>
          <w:tab w:val="clear" w:pos="708"/>
          <w:tab w:val="left" w:pos="1134" w:leader="none"/>
        </w:tabs>
        <w:jc w:val="both"/>
        <w:rPr/>
      </w:pPr>
      <w:r>
        <w:rPr>
          <w:bCs/>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pPr>
        <w:pStyle w:val="ListParagraph"/>
        <w:numPr>
          <w:ilvl w:val="1"/>
          <w:numId w:val="4"/>
        </w:numPr>
        <w:tabs>
          <w:tab w:val="clear" w:pos="708"/>
          <w:tab w:val="left" w:pos="1134" w:leader="none"/>
        </w:tabs>
        <w:ind w:left="0" w:firstLine="709"/>
        <w:jc w:val="both"/>
        <w:rPr/>
      </w:pPr>
      <w:r>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pPr>
        <w:pStyle w:val="ListParagraph"/>
        <w:numPr>
          <w:ilvl w:val="1"/>
          <w:numId w:val="4"/>
        </w:numPr>
        <w:tabs>
          <w:tab w:val="clear" w:pos="708"/>
          <w:tab w:val="left" w:pos="1134" w:leader="none"/>
        </w:tabs>
        <w:ind w:left="0" w:firstLine="709"/>
        <w:jc w:val="both"/>
        <w:rPr/>
      </w:pPr>
      <w:r>
        <w:rPr/>
        <w:t>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pPr>
        <w:pStyle w:val="ListParagraph"/>
        <w:numPr>
          <w:ilvl w:val="1"/>
          <w:numId w:val="4"/>
        </w:numPr>
        <w:tabs>
          <w:tab w:val="clear" w:pos="708"/>
          <w:tab w:val="left" w:pos="1134" w:leader="none"/>
        </w:tabs>
        <w:ind w:left="0" w:firstLine="709"/>
        <w:jc w:val="both"/>
        <w:rPr/>
      </w:pPr>
      <w:r>
        <w:rPr>
          <w:bCs/>
        </w:rPr>
        <w:t>Требование об уплате денежной суммы по Независимой гарантии по Договору может содержать указание на существо допущенных Исполнителем нарушений, в том числе в следующих случаях (включая, но не ограничиваясь):</w:t>
      </w:r>
    </w:p>
    <w:p>
      <w:pPr>
        <w:pStyle w:val="ListParagraph"/>
        <w:numPr>
          <w:ilvl w:val="0"/>
          <w:numId w:val="24"/>
        </w:numPr>
        <w:tabs>
          <w:tab w:val="clear" w:pos="708"/>
          <w:tab w:val="left" w:pos="1134" w:leader="none"/>
        </w:tabs>
        <w:jc w:val="both"/>
        <w:rPr/>
      </w:pPr>
      <w:r>
        <w:rPr>
          <w:bCs/>
        </w:rPr>
        <w:t>отказа Исполнителя от исполнения обязательств по Договору, в том числе одностороннего отказа от Договора;</w:t>
      </w:r>
    </w:p>
    <w:p>
      <w:pPr>
        <w:pStyle w:val="ListParagraph"/>
        <w:numPr>
          <w:ilvl w:val="0"/>
          <w:numId w:val="24"/>
        </w:numPr>
        <w:tabs>
          <w:tab w:val="clear" w:pos="708"/>
          <w:tab w:val="left" w:pos="1134" w:leader="none"/>
        </w:tabs>
        <w:jc w:val="both"/>
        <w:rPr/>
      </w:pPr>
      <w:r>
        <w:rPr>
          <w:bCs/>
        </w:rPr>
        <w:t>отказа Исполнителя от возврата неотработанного аванса при досрочном прекращении Договора / признании Договора недействительным;</w:t>
      </w:r>
    </w:p>
    <w:p>
      <w:pPr>
        <w:pStyle w:val="ListParagraph"/>
        <w:numPr>
          <w:ilvl w:val="0"/>
          <w:numId w:val="24"/>
        </w:numPr>
        <w:tabs>
          <w:tab w:val="clear" w:pos="708"/>
          <w:tab w:val="left" w:pos="1134" w:leader="none"/>
        </w:tabs>
        <w:jc w:val="both"/>
        <w:rPr/>
      </w:pPr>
      <w:r>
        <w:rPr>
          <w:bCs/>
        </w:rPr>
        <w:t>нарушения Исполнителем сроков оказания Услуг, установленных Графиком оказания Услуг, более чем на 60 (шестьдесят) календарных дней;</w:t>
      </w:r>
    </w:p>
    <w:p>
      <w:pPr>
        <w:pStyle w:val="ListParagraph"/>
        <w:numPr>
          <w:ilvl w:val="0"/>
          <w:numId w:val="24"/>
        </w:numPr>
        <w:tabs>
          <w:tab w:val="clear" w:pos="708"/>
          <w:tab w:val="left" w:pos="1134" w:leader="none"/>
        </w:tabs>
        <w:jc w:val="both"/>
        <w:rPr/>
      </w:pPr>
      <w:r>
        <w:rPr>
          <w:bCs/>
        </w:rPr>
        <w:t>утраты Исполнителем специальных разрешений (в том числе отзыв, прекращение (приостановление) действие допусков, разрешений) и / или лицензий, предоставляющих Исполнителю возможность надлежащего исполнения обязательств по Договору;</w:t>
      </w:r>
    </w:p>
    <w:p>
      <w:pPr>
        <w:pStyle w:val="ListParagraph"/>
        <w:numPr>
          <w:ilvl w:val="0"/>
          <w:numId w:val="24"/>
        </w:numPr>
        <w:tabs>
          <w:tab w:val="clear" w:pos="708"/>
          <w:tab w:val="left" w:pos="1134" w:leader="none"/>
        </w:tabs>
        <w:jc w:val="both"/>
        <w:rPr/>
      </w:pPr>
      <w:r>
        <w:rPr>
          <w:bCs/>
        </w:rPr>
        <w:t xml:space="preserve">прекращения членства Исполнителя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 </w:t>
      </w:r>
    </w:p>
    <w:p>
      <w:pPr>
        <w:pStyle w:val="ListParagraph"/>
        <w:numPr>
          <w:ilvl w:val="0"/>
          <w:numId w:val="24"/>
        </w:numPr>
        <w:tabs>
          <w:tab w:val="clear" w:pos="708"/>
          <w:tab w:val="left" w:pos="1134" w:leader="none"/>
        </w:tabs>
        <w:jc w:val="both"/>
        <w:rPr/>
      </w:pPr>
      <w:r>
        <w:rPr>
          <w:bCs/>
        </w:rPr>
        <w:t>введения арбитражным судом процедуры несостоятельности (банкротства) в отношении Исполнителя;</w:t>
      </w:r>
    </w:p>
    <w:p>
      <w:pPr>
        <w:pStyle w:val="ListParagraph"/>
        <w:numPr>
          <w:ilvl w:val="0"/>
          <w:numId w:val="24"/>
        </w:numPr>
        <w:tabs>
          <w:tab w:val="clear" w:pos="708"/>
          <w:tab w:val="left" w:pos="1134" w:leader="none"/>
        </w:tabs>
        <w:jc w:val="both"/>
        <w:rPr/>
      </w:pPr>
      <w:r>
        <w:rPr>
          <w:bCs/>
        </w:rPr>
        <w:t>установления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Договоре, и имеющих существенное значение для его заключения и исполнения;</w:t>
      </w:r>
    </w:p>
    <w:p>
      <w:pPr>
        <w:pStyle w:val="ListParagraph"/>
        <w:numPr>
          <w:ilvl w:val="0"/>
          <w:numId w:val="25"/>
        </w:numPr>
        <w:tabs>
          <w:tab w:val="clear" w:pos="708"/>
          <w:tab w:val="left" w:pos="1134" w:leader="none"/>
        </w:tabs>
        <w:jc w:val="both"/>
        <w:rPr/>
      </w:pPr>
      <w:r>
        <w:rPr>
          <w:bCs/>
        </w:rPr>
        <w:t>признания Договора недействительным по причинам отсутствия необходимых корпоративных одобрений у Исполнителя;</w:t>
      </w:r>
    </w:p>
    <w:p>
      <w:pPr>
        <w:pStyle w:val="ListParagraph"/>
        <w:numPr>
          <w:ilvl w:val="0"/>
          <w:numId w:val="25"/>
        </w:numPr>
        <w:tabs>
          <w:tab w:val="clear" w:pos="708"/>
          <w:tab w:val="left" w:pos="1134" w:leader="none"/>
        </w:tabs>
        <w:jc w:val="both"/>
        <w:rPr/>
      </w:pPr>
      <w:r>
        <w:rPr>
          <w:bCs/>
        </w:rPr>
        <w:t>непредоставления Исполнителем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Исполнителя по Договору превышает срок действия Независимой гарантии либо срок исполнения обязательств продлен.</w:t>
      </w:r>
    </w:p>
    <w:p>
      <w:pPr>
        <w:pStyle w:val="ListParagraph"/>
        <w:numPr>
          <w:ilvl w:val="1"/>
          <w:numId w:val="4"/>
        </w:numPr>
        <w:tabs>
          <w:tab w:val="clear" w:pos="708"/>
          <w:tab w:val="left" w:pos="1134" w:leader="none"/>
        </w:tabs>
        <w:ind w:left="0" w:firstLine="709"/>
        <w:jc w:val="both"/>
        <w:rPr/>
      </w:pPr>
      <w:r>
        <w:rPr>
          <w:bCs/>
        </w:rPr>
        <w:t>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pPr>
        <w:pStyle w:val="ListParagraph"/>
        <w:numPr>
          <w:ilvl w:val="1"/>
          <w:numId w:val="4"/>
        </w:numPr>
        <w:tabs>
          <w:tab w:val="clear" w:pos="708"/>
          <w:tab w:val="left" w:pos="1134" w:leader="none"/>
        </w:tabs>
        <w:ind w:left="0" w:firstLine="709"/>
        <w:jc w:val="both"/>
        <w:rPr/>
      </w:pPr>
      <w:r>
        <w:rPr/>
        <w:t>Текст Независимой гарантии должен содержать перечень Документов к требованию.</w:t>
      </w:r>
    </w:p>
    <w:p>
      <w:pPr>
        <w:pStyle w:val="ListParagraph"/>
        <w:numPr>
          <w:ilvl w:val="1"/>
          <w:numId w:val="4"/>
        </w:numPr>
        <w:tabs>
          <w:tab w:val="clear" w:pos="708"/>
          <w:tab w:val="left" w:pos="1134" w:leader="none"/>
        </w:tabs>
        <w:ind w:left="0" w:firstLine="709"/>
        <w:jc w:val="both"/>
        <w:rPr/>
      </w:pPr>
      <w:r>
        <w:rPr/>
        <w:t>Текст Независимой гарантии должен содержать следующие дополнительные условия:</w:t>
      </w:r>
    </w:p>
    <w:p>
      <w:pPr>
        <w:pStyle w:val="ListParagraph"/>
        <w:numPr>
          <w:ilvl w:val="2"/>
          <w:numId w:val="4"/>
        </w:numPr>
        <w:tabs>
          <w:tab w:val="clear" w:pos="708"/>
          <w:tab w:val="left" w:pos="1134" w:leader="none"/>
        </w:tabs>
        <w:ind w:left="0" w:firstLine="709"/>
        <w:jc w:val="both"/>
        <w:rPr/>
      </w:pPr>
      <w:r>
        <w:rPr/>
        <w:t>Гарант обязан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pPr>
        <w:pStyle w:val="ListParagraph"/>
        <w:numPr>
          <w:ilvl w:val="2"/>
          <w:numId w:val="4"/>
        </w:numPr>
        <w:tabs>
          <w:tab w:val="clear" w:pos="708"/>
          <w:tab w:val="left" w:pos="1134" w:leader="none"/>
        </w:tabs>
        <w:ind w:left="0" w:firstLine="709"/>
        <w:jc w:val="both"/>
        <w:rPr/>
      </w:pPr>
      <w:r>
        <w:rPr/>
        <w:t>Бенефициар вправе передавать право требования по Независимой гарантии в случае перемены Заказчика по Договору при осуществлении закупки с предварительным извещением об этом Гаранта.</w:t>
      </w:r>
    </w:p>
    <w:p>
      <w:pPr>
        <w:pStyle w:val="ListParagraph"/>
        <w:numPr>
          <w:ilvl w:val="2"/>
          <w:numId w:val="4"/>
        </w:numPr>
        <w:tabs>
          <w:tab w:val="clear" w:pos="708"/>
          <w:tab w:val="left" w:pos="1134" w:leader="none"/>
        </w:tabs>
        <w:ind w:left="0" w:firstLine="709"/>
        <w:jc w:val="both"/>
        <w:rPr/>
      </w:pPr>
      <w:r>
        <w:rPr/>
        <w:t>Расходы, возникающие в связи с перечислением Гарантом денежных средств по Независимой гарантии, несет Гарант.</w:t>
      </w:r>
    </w:p>
    <w:p>
      <w:pPr>
        <w:pStyle w:val="ListParagraph"/>
        <w:numPr>
          <w:ilvl w:val="2"/>
          <w:numId w:val="4"/>
        </w:numPr>
        <w:tabs>
          <w:tab w:val="clear" w:pos="708"/>
          <w:tab w:val="left" w:pos="1134" w:leader="none"/>
        </w:tabs>
        <w:ind w:left="0" w:firstLine="709"/>
        <w:jc w:val="both"/>
        <w:rPr/>
      </w:pPr>
      <w:r>
        <w:rPr/>
        <w:t>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pPr>
        <w:pStyle w:val="ListParagraph"/>
        <w:numPr>
          <w:ilvl w:val="2"/>
          <w:numId w:val="4"/>
        </w:numPr>
        <w:tabs>
          <w:tab w:val="clear" w:pos="708"/>
          <w:tab w:val="left" w:pos="1134" w:leader="none"/>
        </w:tabs>
        <w:ind w:left="0" w:firstLine="709"/>
        <w:jc w:val="both"/>
        <w:rPr/>
      </w:pPr>
      <w:r>
        <w:rPr/>
        <w:t>Споры, возникающие в связи с исполнением обязательств по Независимой гарантии, рассматриваются в Арбитражном суде Амурской области.</w:t>
      </w:r>
    </w:p>
    <w:p>
      <w:pPr>
        <w:pStyle w:val="ListParagraph"/>
        <w:numPr>
          <w:ilvl w:val="2"/>
          <w:numId w:val="4"/>
        </w:numPr>
        <w:tabs>
          <w:tab w:val="clear" w:pos="708"/>
          <w:tab w:val="left" w:pos="1134" w:leader="none"/>
        </w:tabs>
        <w:ind w:left="0" w:firstLine="709"/>
        <w:jc w:val="both"/>
        <w:rPr/>
      </w:pPr>
      <w:r>
        <w:rPr/>
        <w:t>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pPr>
        <w:pStyle w:val="ListParagraph"/>
        <w:numPr>
          <w:ilvl w:val="2"/>
          <w:numId w:val="4"/>
        </w:numPr>
        <w:tabs>
          <w:tab w:val="clear" w:pos="708"/>
          <w:tab w:val="left" w:pos="1134" w:leader="none"/>
        </w:tabs>
        <w:ind w:left="0" w:firstLine="709"/>
        <w:jc w:val="both"/>
        <w:rPr/>
      </w:pPr>
      <w:r>
        <w:rPr/>
        <w:t>Гарант обязан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pStyle w:val="ListParagraph"/>
        <w:numPr>
          <w:ilvl w:val="1"/>
          <w:numId w:val="4"/>
        </w:numPr>
        <w:tabs>
          <w:tab w:val="clear" w:pos="708"/>
          <w:tab w:val="left" w:pos="1134" w:leader="none"/>
        </w:tabs>
        <w:ind w:left="0" w:firstLine="709"/>
        <w:jc w:val="both"/>
        <w:rPr/>
      </w:pPr>
      <w:r>
        <w:rPr>
          <w:bCs/>
        </w:rPr>
        <w:t>Независимая гарантия не должна содержать условия:</w:t>
      </w:r>
    </w:p>
    <w:p>
      <w:pPr>
        <w:pStyle w:val="ListParagraph"/>
        <w:numPr>
          <w:ilvl w:val="0"/>
          <w:numId w:val="26"/>
        </w:numPr>
        <w:tabs>
          <w:tab w:val="clear" w:pos="708"/>
          <w:tab w:val="left" w:pos="1134" w:leader="none"/>
        </w:tabs>
        <w:jc w:val="both"/>
        <w:rPr/>
      </w:pPr>
      <w:r>
        <w:rPr>
          <w:bCs/>
        </w:rPr>
        <w:t>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pPr>
        <w:pStyle w:val="ListParagraph"/>
        <w:numPr>
          <w:ilvl w:val="0"/>
          <w:numId w:val="26"/>
        </w:numPr>
        <w:tabs>
          <w:tab w:val="clear" w:pos="708"/>
          <w:tab w:val="left" w:pos="1134" w:leader="none"/>
        </w:tabs>
        <w:jc w:val="both"/>
        <w:rPr/>
      </w:pPr>
      <w:r>
        <w:rPr>
          <w:bCs/>
        </w:rPr>
        <w:t>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Исполнителем условий Договора или о расторжении Договора;</w:t>
      </w:r>
    </w:p>
    <w:p>
      <w:pPr>
        <w:pStyle w:val="ListParagraph"/>
        <w:numPr>
          <w:ilvl w:val="0"/>
          <w:numId w:val="26"/>
        </w:numPr>
        <w:tabs>
          <w:tab w:val="clear" w:pos="708"/>
          <w:tab w:val="left" w:pos="1134" w:leader="none"/>
        </w:tabs>
        <w:jc w:val="both"/>
        <w:rPr/>
      </w:pPr>
      <w:r>
        <w:rPr>
          <w:bCs/>
        </w:rPr>
        <w:t>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pPr>
        <w:pStyle w:val="ListParagraph"/>
        <w:numPr>
          <w:ilvl w:val="0"/>
          <w:numId w:val="26"/>
        </w:numPr>
        <w:tabs>
          <w:tab w:val="clear" w:pos="708"/>
          <w:tab w:val="left" w:pos="1134" w:leader="none"/>
        </w:tabs>
        <w:jc w:val="both"/>
        <w:rPr/>
      </w:pPr>
      <w:r>
        <w:rPr>
          <w:bCs/>
        </w:rPr>
        <w:t>о предоставлении Бенефициаром гаранту судебных актов, подтверждающих неисполнение Исполнителем обязательств, обеспечиваемых Независимой гарантией.</w:t>
      </w:r>
    </w:p>
    <w:p>
      <w:pPr>
        <w:pStyle w:val="ListParagraph"/>
        <w:numPr>
          <w:ilvl w:val="1"/>
          <w:numId w:val="4"/>
        </w:numPr>
        <w:tabs>
          <w:tab w:val="clear" w:pos="708"/>
          <w:tab w:val="left" w:pos="1134" w:leader="none"/>
        </w:tabs>
        <w:ind w:left="0" w:firstLine="709"/>
        <w:jc w:val="both"/>
        <w:rPr/>
      </w:pPr>
      <w:r>
        <w:rPr/>
        <w:t>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pStyle w:val="ListParagraph"/>
        <w:numPr>
          <w:ilvl w:val="1"/>
          <w:numId w:val="4"/>
        </w:numPr>
        <w:tabs>
          <w:tab w:val="clear" w:pos="708"/>
          <w:tab w:val="left" w:pos="1134" w:leader="none"/>
        </w:tabs>
        <w:ind w:left="0" w:firstLine="709"/>
        <w:jc w:val="both"/>
        <w:rPr/>
      </w:pPr>
      <w:r>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(ноль целых и одна десятая) процента от денежной суммы, подлежащей уплате по Независимой гарантии.</w:t>
      </w:r>
    </w:p>
    <w:p>
      <w:pPr>
        <w:pStyle w:val="ListParagraph"/>
        <w:numPr>
          <w:ilvl w:val="1"/>
          <w:numId w:val="4"/>
        </w:numPr>
        <w:tabs>
          <w:tab w:val="clear" w:pos="708"/>
          <w:tab w:val="left" w:pos="1134" w:leader="none"/>
        </w:tabs>
        <w:ind w:left="0" w:firstLine="709"/>
        <w:jc w:val="both"/>
        <w:rPr/>
      </w:pPr>
      <w:r>
        <w:rPr/>
        <w:t>Несоответствие Независимой гарантии, предоставленной Исполнителем, вышеперечисленным требованиям, является основанием для отказа в принятии ее Бенефициаром.</w:t>
      </w:r>
    </w:p>
    <w:p>
      <w:pPr>
        <w:pStyle w:val="ListParagraph"/>
        <w:numPr>
          <w:ilvl w:val="1"/>
          <w:numId w:val="4"/>
        </w:numPr>
        <w:tabs>
          <w:tab w:val="clear" w:pos="708"/>
          <w:tab w:val="left" w:pos="1134" w:leader="none"/>
        </w:tabs>
        <w:ind w:left="0" w:firstLine="709"/>
        <w:jc w:val="both"/>
        <w:rPr/>
      </w:pPr>
      <w:r>
        <w:rPr/>
        <w:t>Независимая гарантия не должна содержать условий или требований, противоречащих изложенному или делающих изложенное неисполнимым.</w:t>
      </w:r>
    </w:p>
    <w:p>
      <w:pPr>
        <w:pStyle w:val="ListParagraph"/>
        <w:numPr>
          <w:ilvl w:val="1"/>
          <w:numId w:val="4"/>
        </w:numPr>
        <w:tabs>
          <w:tab w:val="clear" w:pos="708"/>
          <w:tab w:val="left" w:pos="1134" w:leader="none"/>
        </w:tabs>
        <w:ind w:left="0" w:firstLine="709"/>
        <w:jc w:val="both"/>
        <w:rPr/>
      </w:pPr>
      <w:r>
        <w:rPr>
          <w:bCs/>
        </w:rPr>
        <w:t xml:space="preserve">В случаях: </w:t>
      </w:r>
    </w:p>
    <w:p>
      <w:pPr>
        <w:pStyle w:val="ListParagraph"/>
        <w:numPr>
          <w:ilvl w:val="0"/>
          <w:numId w:val="27"/>
        </w:numPr>
        <w:shd w:val="clear" w:color="auto" w:fill="FFFFFF"/>
        <w:tabs>
          <w:tab w:val="clear" w:pos="708"/>
          <w:tab w:val="left" w:pos="1134" w:leader="none"/>
        </w:tabs>
        <w:jc w:val="both"/>
        <w:rPr/>
      </w:pPr>
      <w:r>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pPr>
        <w:pStyle w:val="ListParagraph"/>
        <w:numPr>
          <w:ilvl w:val="0"/>
          <w:numId w:val="27"/>
        </w:numPr>
        <w:shd w:val="clear" w:color="auto" w:fill="FFFFFF"/>
        <w:tabs>
          <w:tab w:val="clear" w:pos="708"/>
          <w:tab w:val="left" w:pos="1134" w:leader="none"/>
        </w:tabs>
        <w:jc w:val="both"/>
        <w:rPr/>
      </w:pPr>
      <w:r>
        <w:rPr>
          <w:bCs/>
        </w:rPr>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pPr>
        <w:pStyle w:val="ListParagraph"/>
        <w:numPr>
          <w:ilvl w:val="0"/>
          <w:numId w:val="27"/>
        </w:numPr>
        <w:shd w:val="clear" w:color="auto" w:fill="FFFFFF"/>
        <w:tabs>
          <w:tab w:val="clear" w:pos="708"/>
          <w:tab w:val="left" w:pos="1134" w:leader="none"/>
        </w:tabs>
        <w:jc w:val="both"/>
        <w:rPr/>
      </w:pPr>
      <w:r>
        <w:rPr>
          <w:bCs/>
        </w:rPr>
        <w:t>Исполнитель обязан предоставить Заказчику новую Независимую гарантию,</w:t>
      </w:r>
      <w:r>
        <w:rPr/>
        <w:t xml:space="preserve"> </w:t>
      </w:r>
      <w:r>
        <w:rPr>
          <w:bCs/>
        </w:rPr>
        <w:t>согласованную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pPr>
        <w:pStyle w:val="ListParagraph"/>
        <w:numPr>
          <w:ilvl w:val="0"/>
          <w:numId w:val="27"/>
        </w:numPr>
        <w:tabs>
          <w:tab w:val="clear" w:pos="708"/>
          <w:tab w:val="left" w:pos="1134" w:leader="none"/>
        </w:tabs>
        <w:jc w:val="both"/>
        <w:rPr/>
      </w:pPr>
      <w:r>
        <w:rPr>
          <w:bCs/>
        </w:rPr>
        <w:t>В случае непредставления Исполнителем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Исполнителю, до полного зачета неотработанного аванса</w:t>
      </w:r>
      <w:r>
        <w:rPr/>
        <w:t>.</w:t>
      </w:r>
    </w:p>
    <w:p>
      <w:pPr>
        <w:pStyle w:val="ListParagraph"/>
        <w:numPr>
          <w:ilvl w:val="1"/>
          <w:numId w:val="4"/>
        </w:numPr>
        <w:tabs>
          <w:tab w:val="clear" w:pos="708"/>
          <w:tab w:val="left" w:pos="1134" w:leader="none"/>
        </w:tabs>
        <w:ind w:left="0" w:firstLine="709"/>
        <w:jc w:val="both"/>
        <w:rPr/>
      </w:pPr>
      <w:r>
        <w:rPr/>
        <w:t>Во всех случаях, предусмотренных Договором, Исполнитель вправе представить Заказчику вместо новой Независимой гарантии изменения к ранее выданной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pPr>
        <w:pStyle w:val="ListParagraph"/>
        <w:numPr>
          <w:ilvl w:val="1"/>
          <w:numId w:val="4"/>
        </w:numPr>
        <w:shd w:val="clear" w:color="auto" w:fill="FFFFFF"/>
        <w:tabs>
          <w:tab w:val="clear" w:pos="708"/>
          <w:tab w:val="left" w:pos="1134" w:leader="none"/>
        </w:tabs>
        <w:ind w:left="0" w:firstLine="709"/>
        <w:jc w:val="both"/>
        <w:rPr/>
      </w:pPr>
      <w:r>
        <w:rPr>
          <w:bCs/>
        </w:rPr>
        <w:t>Положения пункта 3.5.1 Договора вступают в силу в отношении авансового платежа, по факту выплаты которого совокупная сумма неотработанных авансовых платежей, уплаченных и подлежащих уплате по Договору в соответствии с выставленными счетами Исполнителя, составляет 5 000 000 (пять миллионов) рублей и более без учета НДС.</w:t>
      </w:r>
    </w:p>
    <w:p>
      <w:pPr>
        <w:pStyle w:val="ListParagraph"/>
        <w:shd w:val="clear" w:color="auto" w:fill="FFFFFF"/>
        <w:tabs>
          <w:tab w:val="clear" w:pos="708"/>
          <w:tab w:val="left" w:pos="0" w:leader="none"/>
          <w:tab w:val="left" w:pos="1134" w:leader="none"/>
        </w:tabs>
        <w:ind w:left="0" w:firstLine="709"/>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b/>
          <w:bCs/>
        </w:rPr>
      </w:pPr>
      <w:r>
        <w:rPr>
          <w:b/>
          <w:bCs/>
        </w:rPr>
        <w:t>Ответственность Сторон</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Normal"/>
        <w:numPr>
          <w:ilvl w:val="1"/>
          <w:numId w:val="4"/>
        </w:numPr>
        <w:tabs>
          <w:tab w:val="clear" w:pos="708"/>
          <w:tab w:val="left" w:pos="1134" w:leader="none"/>
        </w:tabs>
        <w:spacing w:lineRule="auto" w:line="240"/>
        <w:ind w:left="0" w:firstLine="709"/>
        <w:rPr>
          <w:bCs/>
          <w:sz w:val="24"/>
          <w:szCs w:val="24"/>
        </w:rPr>
      </w:pPr>
      <w:r>
        <w:rPr>
          <w:bCs/>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4"/>
        </w:numPr>
        <w:tabs>
          <w:tab w:val="clear" w:pos="708"/>
          <w:tab w:val="left" w:pos="1134" w:leader="none"/>
        </w:tabs>
        <w:spacing w:lineRule="auto" w:line="240"/>
        <w:ind w:left="0" w:firstLine="709"/>
        <w:rPr>
          <w:bCs/>
          <w:sz w:val="24"/>
          <w:szCs w:val="24"/>
        </w:rPr>
      </w:pPr>
      <w:r>
        <w:rPr>
          <w:bCs/>
          <w:sz w:val="24"/>
          <w:szCs w:val="24"/>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w:t>
      </w:r>
      <w:r>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pPr>
        <w:pStyle w:val="Normal"/>
        <w:numPr>
          <w:ilvl w:val="1"/>
          <w:numId w:val="4"/>
        </w:numPr>
        <w:tabs>
          <w:tab w:val="clear" w:pos="708"/>
          <w:tab w:val="left" w:pos="1134"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pPr>
        <w:pStyle w:val="ListParagraph"/>
        <w:numPr>
          <w:ilvl w:val="2"/>
          <w:numId w:val="4"/>
        </w:numPr>
        <w:shd w:val="clear" w:color="auto" w:fill="FFFFFF"/>
        <w:tabs>
          <w:tab w:val="clear" w:pos="708"/>
          <w:tab w:val="left" w:pos="0" w:leader="none"/>
          <w:tab w:val="left" w:pos="709" w:leader="none"/>
          <w:tab w:val="left" w:pos="1276" w:leader="none"/>
          <w:tab w:val="left" w:pos="1418" w:leader="none"/>
        </w:tabs>
        <w:ind w:left="0" w:firstLine="709"/>
        <w:jc w:val="both"/>
        <w:rPr/>
      </w:pPr>
      <w:r>
        <w:rPr/>
        <w:t>Неустойки в размере 0,1 (ноль целых и одна десятая) процента от стоимости Этапа Работ за каждый день просрочки</w:t>
      </w:r>
      <w:r>
        <w:rPr>
          <w:rFonts w:eastAsia="Calibri"/>
          <w:bCs/>
        </w:rPr>
        <w:t>;</w:t>
      </w:r>
    </w:p>
    <w:p>
      <w:pPr>
        <w:pStyle w:val="ListParagraph"/>
        <w:numPr>
          <w:ilvl w:val="2"/>
          <w:numId w:val="4"/>
        </w:numPr>
        <w:shd w:val="clear" w:color="auto" w:fill="FFFFFF"/>
        <w:tabs>
          <w:tab w:val="clear" w:pos="708"/>
          <w:tab w:val="left" w:pos="0" w:leader="none"/>
          <w:tab w:val="left" w:pos="709" w:leader="none"/>
          <w:tab w:val="left" w:pos="1276" w:leader="none"/>
          <w:tab w:val="left" w:pos="1418" w:leader="none"/>
        </w:tabs>
        <w:ind w:left="0" w:firstLine="709"/>
        <w:jc w:val="both"/>
        <w:rPr/>
      </w:pPr>
      <w:r>
        <w:rPr>
          <w:rFonts w:eastAsia="Calibri"/>
          <w:bCs/>
        </w:rPr>
        <w:t xml:space="preserve">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Pr>
          <w:bCs/>
        </w:rPr>
        <w:t xml:space="preserve">в целом </w:t>
      </w:r>
      <w:r>
        <w:rPr>
          <w:rFonts w:eastAsia="Calibri"/>
          <w:bCs/>
        </w:rPr>
        <w:t xml:space="preserve">по Договору; </w:t>
      </w:r>
    </w:p>
    <w:p>
      <w:pPr>
        <w:pStyle w:val="ListParagraph"/>
        <w:numPr>
          <w:ilvl w:val="2"/>
          <w:numId w:val="4"/>
        </w:numPr>
        <w:shd w:val="clear" w:color="auto" w:fill="FFFFFF"/>
        <w:tabs>
          <w:tab w:val="clear" w:pos="708"/>
          <w:tab w:val="left" w:pos="0" w:leader="none"/>
          <w:tab w:val="left" w:pos="709" w:leader="none"/>
          <w:tab w:val="left" w:pos="1276" w:leader="none"/>
          <w:tab w:val="left" w:pos="1418" w:leader="none"/>
        </w:tabs>
        <w:spacing w:lineRule="auto" w:line="247" w:before="0" w:after="5"/>
        <w:ind w:left="0" w:firstLine="709"/>
        <w:contextualSpacing w:val="false"/>
        <w:jc w:val="both"/>
        <w:rPr/>
      </w:pPr>
      <w:r>
        <w:rPr>
          <w:rFonts w:eastAsia="Calibri"/>
          <w:bCs/>
        </w:rPr>
        <w:t xml:space="preserve">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Pr>
          <w:bCs/>
        </w:rPr>
        <w:t xml:space="preserve">в целом </w:t>
      </w:r>
      <w:r>
        <w:rPr>
          <w:rFonts w:eastAsia="Calibri"/>
          <w:bCs/>
        </w:rPr>
        <w:t>по Договору.</w:t>
      </w:r>
    </w:p>
    <w:p>
      <w:pPr>
        <w:pStyle w:val="Normal"/>
        <w:widowControl w:val="false"/>
        <w:numPr>
          <w:ilvl w:val="1"/>
          <w:numId w:val="4"/>
        </w:numPr>
        <w:shd w:val="clear" w:color="auto" w:fill="FFFFFF"/>
        <w:tabs>
          <w:tab w:val="clear" w:pos="708"/>
          <w:tab w:val="left" w:pos="1134" w:leader="none"/>
        </w:tabs>
        <w:spacing w:lineRule="auto" w:line="240"/>
        <w:ind w:left="0" w:firstLine="709"/>
        <w:rPr>
          <w:sz w:val="24"/>
          <w:szCs w:val="24"/>
        </w:rPr>
      </w:pPr>
      <w:r>
        <w:rPr>
          <w:kern w:val="2"/>
          <w:sz w:val="24"/>
          <w:szCs w:val="24"/>
        </w:rPr>
        <w:t xml:space="preserve">В случае несвоевременного возврата аванса </w:t>
      </w:r>
      <w:r>
        <w:rPr>
          <w:bCs/>
          <w:sz w:val="24"/>
          <w:szCs w:val="24"/>
        </w:rPr>
        <w:t xml:space="preserve">Заказчик вправе требовать уплаты Подрядчиком неустойки в размере </w:t>
      </w:r>
      <w:r>
        <w:rPr>
          <w:kern w:val="2"/>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pPr>
        <w:pStyle w:val="ListParagraph"/>
        <w:numPr>
          <w:ilvl w:val="1"/>
          <w:numId w:val="4"/>
        </w:numPr>
        <w:shd w:val="clear" w:color="auto" w:fill="FFFFFF"/>
        <w:tabs>
          <w:tab w:val="clear" w:pos="708"/>
          <w:tab w:val="left" w:pos="1134" w:leader="none"/>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Pr>
          <w:bCs/>
        </w:rPr>
        <w:t>8</w:t>
      </w:r>
      <w:r>
        <w:rPr>
          <w:bCs/>
        </w:rPr>
        <w:t xml:space="preserve"> Договора, Заказчик имеет право требования от Подрядчика уплаты штрафа в размере 50 000 (пятидесяти тысяч) рублей за каждый случай нарушения.</w:t>
      </w:r>
    </w:p>
    <w:p>
      <w:pPr>
        <w:pStyle w:val="ListParagraph"/>
        <w:numPr>
          <w:ilvl w:val="1"/>
          <w:numId w:val="4"/>
        </w:numPr>
        <w:shd w:val="clear" w:color="auto" w:fill="FFFFFF"/>
        <w:tabs>
          <w:tab w:val="clear" w:pos="708"/>
          <w:tab w:val="left" w:pos="1134" w:leader="none"/>
        </w:tabs>
        <w:ind w:left="0" w:firstLine="709"/>
        <w:jc w:val="both"/>
        <w:rPr>
          <w:bCs/>
        </w:rPr>
      </w:pPr>
      <w:r>
        <w:rPr>
          <w:bCs/>
        </w:rPr>
        <w:t>За не 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целых три сотых) % от цены Договора за каждый день просрочки</w:t>
      </w:r>
      <w:r>
        <w:rPr>
          <w:rStyle w:val="FootnoteReference"/>
          <w:bCs/>
        </w:rPr>
        <w:footnoteReference w:id="4"/>
      </w:r>
      <w:r>
        <w:rPr>
          <w:bCs/>
        </w:rPr>
        <w:t>.</w:t>
      </w:r>
    </w:p>
    <w:p>
      <w:pPr>
        <w:pStyle w:val="ListParagraph"/>
        <w:numPr>
          <w:ilvl w:val="1"/>
          <w:numId w:val="4"/>
        </w:numPr>
        <w:shd w:val="clear" w:color="auto" w:fill="FFFFFF"/>
        <w:tabs>
          <w:tab w:val="clear" w:pos="708"/>
          <w:tab w:val="left" w:pos="1134" w:leader="none"/>
        </w:tabs>
        <w:ind w:left="0" w:firstLine="709"/>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4"/>
        </w:numPr>
        <w:shd w:val="clear" w:color="auto" w:fill="FFFFFF"/>
        <w:tabs>
          <w:tab w:val="clear" w:pos="708"/>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4"/>
        </w:numPr>
        <w:shd w:val="clear" w:color="auto" w:fill="FFFFFF"/>
        <w:tabs>
          <w:tab w:val="clear" w:pos="708"/>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widowControl w:val="false"/>
        <w:numPr>
          <w:ilvl w:val="1"/>
          <w:numId w:val="4"/>
        </w:numPr>
        <w:shd w:val="clear" w:color="auto" w:fill="FFFFFF"/>
        <w:tabs>
          <w:tab w:val="clear" w:pos="708"/>
          <w:tab w:val="left" w:pos="0" w:leader="none"/>
          <w:tab w:val="left" w:pos="1134" w:leader="none"/>
          <w:tab w:val="left" w:pos="1276" w:leader="none"/>
        </w:tabs>
        <w:ind w:left="0" w:firstLine="709"/>
        <w:jc w:val="both"/>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pPr>
        <w:pStyle w:val="ListParagraph"/>
        <w:shd w:val="clear" w:color="auto" w:fill="FFFFFF"/>
        <w:tabs>
          <w:tab w:val="clear" w:pos="708"/>
          <w:tab w:val="left" w:pos="1134" w:leader="none"/>
        </w:tabs>
        <w:ind w:left="0" w:hanging="0"/>
        <w:jc w:val="both"/>
        <w:rPr>
          <w:color w:val="000000"/>
        </w:rPr>
      </w:pPr>
      <w:r>
        <w:rPr>
          <w:color w:val="000000"/>
        </w:rPr>
      </w:r>
    </w:p>
    <w:p>
      <w:pPr>
        <w:pStyle w:val="ListParagraph"/>
        <w:numPr>
          <w:ilvl w:val="0"/>
          <w:numId w:val="4"/>
        </w:numPr>
        <w:shd w:val="clear" w:color="auto" w:fill="FFFFFF"/>
        <w:tabs>
          <w:tab w:val="clear" w:pos="708"/>
          <w:tab w:val="left" w:pos="426" w:leader="none"/>
        </w:tabs>
        <w:ind w:left="0" w:hanging="0"/>
        <w:jc w:val="center"/>
        <w:rPr>
          <w:b/>
          <w:bCs/>
        </w:rPr>
      </w:pPr>
      <w:r>
        <w:rPr>
          <w:b/>
          <w:bCs/>
        </w:rPr>
        <w:t>Исключительные права и патенты</w:t>
      </w:r>
    </w:p>
    <w:p>
      <w:pPr>
        <w:pStyle w:val="ListParagraph"/>
        <w:numPr>
          <w:ilvl w:val="1"/>
          <w:numId w:val="4"/>
        </w:numPr>
        <w:shd w:val="clear" w:color="auto" w:fill="FFFFFF"/>
        <w:tabs>
          <w:tab w:val="clear" w:pos="708"/>
          <w:tab w:val="left" w:pos="1134" w:leader="none"/>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pPr>
        <w:pStyle w:val="ListParagraph"/>
        <w:numPr>
          <w:ilvl w:val="1"/>
          <w:numId w:val="4"/>
        </w:numPr>
        <w:shd w:val="clear" w:color="auto" w:fill="FFFFFF"/>
        <w:tabs>
          <w:tab w:val="clear" w:pos="708"/>
          <w:tab w:val="left" w:pos="1134" w:leader="none"/>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4"/>
        </w:numPr>
        <w:shd w:val="clear" w:color="auto" w:fill="FFFFFF"/>
        <w:tabs>
          <w:tab w:val="clear" w:pos="708"/>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pPr>
        <w:pStyle w:val="ListParagraph"/>
        <w:numPr>
          <w:ilvl w:val="1"/>
          <w:numId w:val="4"/>
        </w:numPr>
        <w:shd w:val="clear" w:color="auto" w:fill="FFFFFF"/>
        <w:tabs>
          <w:tab w:val="clear" w:pos="708"/>
          <w:tab w:val="left" w:pos="1134" w:leader="none"/>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4"/>
        </w:numPr>
        <w:shd w:val="clear" w:color="auto" w:fill="FFFFFF"/>
        <w:tabs>
          <w:tab w:val="clear" w:pos="708"/>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pPr>
        <w:pStyle w:val="ListParagraph"/>
        <w:shd w:val="clear" w:color="auto" w:fill="FFFFFF"/>
        <w:tabs>
          <w:tab w:val="clear" w:pos="708"/>
          <w:tab w:val="left" w:pos="1134" w:leader="none"/>
        </w:tabs>
        <w:ind w:left="709" w:hanging="0"/>
        <w:jc w:val="both"/>
        <w:rPr>
          <w:bCs/>
        </w:rPr>
      </w:pPr>
      <w:r>
        <w:rPr>
          <w:bCs/>
        </w:rPr>
      </w:r>
    </w:p>
    <w:p>
      <w:pPr>
        <w:pStyle w:val="ListParagraph"/>
        <w:numPr>
          <w:ilvl w:val="0"/>
          <w:numId w:val="4"/>
        </w:numPr>
        <w:shd w:val="clear" w:color="auto" w:fill="FFFFFF"/>
        <w:tabs>
          <w:tab w:val="clear" w:pos="708"/>
          <w:tab w:val="left" w:pos="426" w:leader="none"/>
        </w:tabs>
        <w:ind w:left="0" w:hanging="0"/>
        <w:jc w:val="center"/>
        <w:rPr>
          <w:b/>
          <w:bCs/>
        </w:rPr>
      </w:pPr>
      <w:r>
        <w:rPr>
          <w:b/>
          <w:bCs/>
        </w:rPr>
        <w:t>Конфиденциальность</w:t>
      </w:r>
    </w:p>
    <w:p>
      <w:pPr>
        <w:pStyle w:val="ListParagraph"/>
        <w:numPr>
          <w:ilvl w:val="1"/>
          <w:numId w:val="4"/>
        </w:numPr>
        <w:shd w:val="clear" w:color="auto" w:fill="FFFFFF"/>
        <w:tabs>
          <w:tab w:val="clear" w:pos="708"/>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6"/>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6"/>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4"/>
        </w:numPr>
        <w:shd w:val="clear" w:color="auto" w:fill="FFFFFF"/>
        <w:tabs>
          <w:tab w:val="clear" w:pos="708"/>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4"/>
        </w:numPr>
        <w:shd w:val="clear" w:color="auto" w:fill="FFFFFF"/>
        <w:tabs>
          <w:tab w:val="clear" w:pos="708"/>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4"/>
        </w:numPr>
        <w:shd w:val="clear" w:color="auto" w:fill="FFFFFF"/>
        <w:tabs>
          <w:tab w:val="clear" w:pos="708"/>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бизнес-планы;</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4"/>
        </w:numPr>
        <w:shd w:val="clear" w:color="auto" w:fill="FFFFFF"/>
        <w:tabs>
          <w:tab w:val="clear" w:pos="708"/>
          <w:tab w:val="left" w:pos="1134" w:leader="none"/>
        </w:tabs>
        <w:ind w:left="0" w:firstLine="709"/>
        <w:jc w:val="both"/>
        <w:rPr>
          <w:bCs/>
        </w:rPr>
      </w:pPr>
      <w:bookmarkStart w:id="28"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28"/>
      <w:r>
        <w:rPr>
          <w:bCs/>
        </w:rPr>
        <w:t xml:space="preserve"> </w:t>
      </w:r>
    </w:p>
    <w:p>
      <w:pPr>
        <w:pStyle w:val="ListParagraph"/>
        <w:numPr>
          <w:ilvl w:val="2"/>
          <w:numId w:val="4"/>
        </w:numPr>
        <w:shd w:val="clear" w:color="auto" w:fill="FFFFFF"/>
        <w:tabs>
          <w:tab w:val="clear" w:pos="708"/>
          <w:tab w:val="left" w:pos="1701"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pPr>
        <w:pStyle w:val="ListParagraph"/>
        <w:numPr>
          <w:ilvl w:val="2"/>
          <w:numId w:val="4"/>
        </w:numPr>
        <w:shd w:val="clear" w:color="auto" w:fill="FFFFFF"/>
        <w:tabs>
          <w:tab w:val="clear" w:pos="708"/>
          <w:tab w:val="left" w:pos="1701"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4"/>
        </w:numPr>
        <w:shd w:val="clear" w:color="auto" w:fill="FFFFFF"/>
        <w:tabs>
          <w:tab w:val="clear" w:pos="708"/>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4"/>
        </w:numPr>
        <w:shd w:val="clear" w:color="auto" w:fill="FFFFFF"/>
        <w:tabs>
          <w:tab w:val="clear" w:pos="708"/>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4"/>
        </w:numPr>
        <w:shd w:val="clear" w:color="auto" w:fill="FFFFFF"/>
        <w:tabs>
          <w:tab w:val="clear" w:pos="708"/>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4"/>
        </w:numPr>
        <w:shd w:val="clear" w:color="auto" w:fill="FFFFFF"/>
        <w:tabs>
          <w:tab w:val="clear" w:pos="708"/>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4"/>
        </w:numPr>
        <w:shd w:val="clear" w:color="auto" w:fill="FFFFFF"/>
        <w:tabs>
          <w:tab w:val="clear" w:pos="708"/>
          <w:tab w:val="left" w:pos="1701" w:leader="none"/>
        </w:tabs>
        <w:ind w:left="0" w:firstLine="709"/>
        <w:jc w:val="both"/>
        <w:rPr>
          <w:bCs/>
        </w:rPr>
      </w:pPr>
      <w:bookmarkStart w:id="29"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9"/>
    </w:p>
    <w:p>
      <w:pPr>
        <w:pStyle w:val="ListParagraph"/>
        <w:numPr>
          <w:ilvl w:val="2"/>
          <w:numId w:val="4"/>
        </w:numPr>
        <w:shd w:val="clear" w:color="auto" w:fill="FFFFFF"/>
        <w:tabs>
          <w:tab w:val="clear" w:pos="708"/>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4"/>
        </w:numPr>
        <w:shd w:val="clear" w:color="auto" w:fill="FFFFFF"/>
        <w:tabs>
          <w:tab w:val="clear" w:pos="708"/>
          <w:tab w:val="left" w:pos="1134" w:leader="none"/>
        </w:tabs>
        <w:ind w:left="0" w:firstLine="709"/>
        <w:jc w:val="both"/>
        <w:rPr>
          <w:bCs/>
        </w:rPr>
      </w:pPr>
      <w:bookmarkStart w:id="30"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0"/>
    </w:p>
    <w:p>
      <w:pPr>
        <w:pStyle w:val="ListParagraph"/>
        <w:numPr>
          <w:ilvl w:val="1"/>
          <w:numId w:val="4"/>
        </w:numPr>
        <w:shd w:val="clear" w:color="auto" w:fill="FFFFFF"/>
        <w:tabs>
          <w:tab w:val="clear" w:pos="708"/>
          <w:tab w:val="left" w:pos="1134" w:leader="none"/>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284" w:leader="none"/>
        </w:tabs>
        <w:ind w:left="0" w:hanging="0"/>
        <w:rPr>
          <w:b/>
          <w:bCs/>
        </w:rPr>
      </w:pPr>
      <w:r>
        <w:rPr>
          <w:b/>
          <w:bCs/>
        </w:rPr>
      </w:r>
    </w:p>
    <w:p>
      <w:pPr>
        <w:pStyle w:val="ListParagraph"/>
        <w:numPr>
          <w:ilvl w:val="0"/>
          <w:numId w:val="4"/>
        </w:numPr>
        <w:shd w:val="clear" w:color="auto" w:fill="FFFFFF"/>
        <w:tabs>
          <w:tab w:val="clear" w:pos="708"/>
          <w:tab w:val="left" w:pos="426" w:leader="none"/>
        </w:tabs>
        <w:ind w:left="0" w:hanging="0"/>
        <w:jc w:val="center"/>
        <w:rPr>
          <w:b/>
          <w:bCs/>
        </w:rPr>
      </w:pPr>
      <w:r>
        <w:rPr>
          <w:b/>
          <w:bCs/>
        </w:rPr>
        <w:t>Антикоррупционная оговорка</w:t>
      </w:r>
    </w:p>
    <w:p>
      <w:pPr>
        <w:pStyle w:val="ListParagraph"/>
        <w:numPr>
          <w:ilvl w:val="1"/>
          <w:numId w:val="4"/>
        </w:numPr>
        <w:shd w:val="clear" w:color="auto" w:fill="FFFFFF"/>
        <w:tabs>
          <w:tab w:val="clear" w:pos="708"/>
          <w:tab w:val="left" w:pos="1418" w:leader="none"/>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4"/>
        </w:numPr>
        <w:shd w:val="clear" w:color="auto" w:fill="FFFFFF"/>
        <w:tabs>
          <w:tab w:val="clear" w:pos="708"/>
          <w:tab w:val="left" w:pos="567" w:leader="none"/>
          <w:tab w:val="left" w:pos="1418" w:leader="none"/>
        </w:tabs>
        <w:ind w:left="0" w:firstLine="709"/>
        <w:jc w:val="both"/>
        <w:rPr>
          <w:color w:val="000000"/>
        </w:rPr>
      </w:pPr>
      <w:r>
        <w:rPr>
          <w:color w:val="000000"/>
        </w:rPr>
        <w:t xml:space="preserve">Каналы связи Линия доверия Группы РусГидро: </w:t>
      </w:r>
    </w:p>
    <w:p>
      <w:pPr>
        <w:pStyle w:val="ListParagraph"/>
        <w:widowControl w:val="false"/>
        <w:numPr>
          <w:ilvl w:val="2"/>
          <w:numId w:val="4"/>
        </w:numPr>
        <w:shd w:val="clear" w:color="auto" w:fill="FFFFFF"/>
        <w:tabs>
          <w:tab w:val="clear" w:pos="708"/>
          <w:tab w:val="left" w:pos="567" w:leader="none"/>
          <w:tab w:val="left" w:pos="1418" w:leader="none"/>
        </w:tabs>
        <w:ind w:left="0" w:firstLine="709"/>
        <w:jc w:val="both"/>
        <w:rPr>
          <w:szCs w:val="28"/>
        </w:rPr>
      </w:pPr>
      <w:r>
        <w:rPr>
          <w:szCs w:val="28"/>
        </w:rPr>
        <w:t>Электронная почта: ld@rushydro.ru.</w:t>
      </w:r>
    </w:p>
    <w:p>
      <w:pPr>
        <w:pStyle w:val="ListParagraph"/>
        <w:widowControl w:val="false"/>
        <w:numPr>
          <w:ilvl w:val="2"/>
          <w:numId w:val="4"/>
        </w:numPr>
        <w:shd w:val="clear" w:color="auto" w:fill="FFFFFF"/>
        <w:tabs>
          <w:tab w:val="clear" w:pos="708"/>
          <w:tab w:val="left" w:pos="567" w:leader="none"/>
          <w:tab w:val="left" w:pos="1418" w:leader="none"/>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4"/>
        </w:numPr>
        <w:tabs>
          <w:tab w:val="clear" w:pos="708"/>
          <w:tab w:val="left" w:pos="1418" w:leader="none"/>
        </w:tabs>
        <w:spacing w:lineRule="auto" w:line="259" w:before="0" w:after="160"/>
        <w:ind w:left="0" w:firstLine="709"/>
        <w:contextualSpacing/>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sz w:val="24"/>
          <w:szCs w:val="24"/>
        </w:rPr>
      </w:pPr>
      <w:r>
        <w:rPr>
          <w:b/>
          <w:sz w:val="24"/>
          <w:szCs w:val="24"/>
        </w:rPr>
      </w:r>
    </w:p>
    <w:p>
      <w:pPr>
        <w:pStyle w:val="ListParagraph"/>
        <w:numPr>
          <w:ilvl w:val="0"/>
          <w:numId w:val="4"/>
        </w:numPr>
        <w:shd w:val="clear" w:color="auto" w:fill="FFFFFF"/>
        <w:tabs>
          <w:tab w:val="clear" w:pos="708"/>
          <w:tab w:val="left" w:pos="426" w:leader="none"/>
        </w:tabs>
        <w:ind w:left="0" w:hanging="0"/>
        <w:jc w:val="center"/>
        <w:rPr>
          <w:b/>
          <w:bCs/>
        </w:rPr>
      </w:pPr>
      <w:r>
        <w:rPr>
          <w:b/>
          <w:bCs/>
        </w:rPr>
        <w:t>Обстоятельства непреодолимой силы (форс-мажор)</w:t>
      </w:r>
    </w:p>
    <w:p>
      <w:pPr>
        <w:pStyle w:val="ListParagraph"/>
        <w:numPr>
          <w:ilvl w:val="1"/>
          <w:numId w:val="4"/>
        </w:numPr>
        <w:shd w:val="clear" w:color="auto" w:fill="FFFFFF"/>
        <w:tabs>
          <w:tab w:val="clear" w:pos="708"/>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4"/>
        </w:numPr>
        <w:shd w:val="clear" w:color="auto" w:fill="FFFFFF"/>
        <w:tabs>
          <w:tab w:val="clear" w:pos="708"/>
          <w:tab w:val="left" w:pos="1134" w:leader="none"/>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4"/>
        </w:numPr>
        <w:shd w:val="clear" w:color="auto" w:fill="FFFFFF"/>
        <w:tabs>
          <w:tab w:val="clear" w:pos="708"/>
          <w:tab w:val="left" w:pos="1134" w:leader="none"/>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4"/>
        </w:numPr>
        <w:shd w:val="clear" w:color="auto" w:fill="FFFFFF"/>
        <w:tabs>
          <w:tab w:val="clear" w:pos="708"/>
          <w:tab w:val="left" w:pos="1134" w:leader="none"/>
        </w:tabs>
        <w:ind w:left="0" w:firstLine="709"/>
        <w:jc w:val="both"/>
        <w:rPr>
          <w:bCs/>
        </w:rPr>
      </w:pPr>
      <w: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bCs/>
        </w:rPr>
        <w:t>.</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4"/>
        </w:numPr>
        <w:shd w:val="clear" w:color="auto" w:fill="FFFFFF"/>
        <w:tabs>
          <w:tab w:val="clear" w:pos="708"/>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4"/>
        </w:numPr>
        <w:shd w:val="clear" w:color="auto" w:fill="FFFFFF"/>
        <w:tabs>
          <w:tab w:val="clear" w:pos="708"/>
          <w:tab w:val="left" w:pos="426" w:leader="none"/>
        </w:tabs>
        <w:ind w:left="0" w:hanging="0"/>
        <w:jc w:val="center"/>
        <w:rPr>
          <w:b/>
          <w:bCs/>
        </w:rPr>
      </w:pPr>
      <w:r>
        <w:rPr>
          <w:b/>
          <w:bCs/>
        </w:rPr>
        <w:t>Особые положения</w:t>
      </w:r>
    </w:p>
    <w:p>
      <w:pPr>
        <w:pStyle w:val="ListParagraph"/>
        <w:numPr>
          <w:ilvl w:val="1"/>
          <w:numId w:val="4"/>
        </w:numPr>
        <w:shd w:val="clear" w:color="auto" w:fill="FFFFFF"/>
        <w:tabs>
          <w:tab w:val="clear" w:pos="708"/>
          <w:tab w:val="left" w:pos="1134" w:leader="none"/>
        </w:tabs>
        <w:ind w:left="0" w:firstLine="709"/>
        <w:jc w:val="both"/>
        <w:rPr>
          <w:bCs/>
        </w:rPr>
      </w:pPr>
      <w:bookmarkStart w:id="31"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3"/>
        </w:numPr>
        <w:shd w:val="clear" w:color="auto" w:fill="FFFFFF"/>
        <w:tabs>
          <w:tab w:val="clear" w:pos="708"/>
          <w:tab w:val="left" w:pos="1134" w:leader="none"/>
        </w:tabs>
        <w:ind w:left="0" w:firstLine="709"/>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rPr>
          <w:t>№ 18162/09</w:t>
        </w:r>
      </w:hyperlink>
      <w:r>
        <w:rPr>
          <w:bCs/>
        </w:rPr>
        <w:t xml:space="preserve"> и от 25.05.2010 </w:t>
      </w:r>
      <w:hyperlink r:id="rId3">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3"/>
        </w:numPr>
        <w:shd w:val="clear" w:color="auto" w:fill="FFFFFF"/>
        <w:tabs>
          <w:tab w:val="clear" w:pos="708"/>
          <w:tab w:val="left" w:pos="1134" w:leader="none"/>
        </w:tabs>
        <w:ind w:left="0" w:firstLine="709"/>
        <w:jc w:val="both"/>
        <w:rPr>
          <w:bCs/>
        </w:rPr>
      </w:pPr>
      <w:r>
        <w:rPr>
          <w:bCs/>
        </w:rPr>
        <w:t xml:space="preserve">соответствующие </w:t>
      </w:r>
      <w:hyperlink r:id="rId4">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1"/>
    </w:p>
    <w:p>
      <w:pPr>
        <w:pStyle w:val="ListParagraph"/>
        <w:numPr>
          <w:ilvl w:val="1"/>
          <w:numId w:val="4"/>
        </w:numPr>
        <w:shd w:val="clear" w:color="auto" w:fill="FFFFFF"/>
        <w:tabs>
          <w:tab w:val="clear" w:pos="708"/>
          <w:tab w:val="left" w:pos="1134" w:leader="none"/>
        </w:tabs>
        <w:ind w:left="0" w:firstLine="709"/>
        <w:jc w:val="both"/>
        <w:rPr>
          <w:bCs/>
        </w:rPr>
      </w:pPr>
      <w:bookmarkStart w:id="32"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32"/>
    </w:p>
    <w:p>
      <w:pPr>
        <w:pStyle w:val="ListParagraph"/>
        <w:numPr>
          <w:ilvl w:val="1"/>
          <w:numId w:val="4"/>
        </w:numPr>
        <w:shd w:val="clear" w:color="auto" w:fill="FFFFFF"/>
        <w:tabs>
          <w:tab w:val="clear" w:pos="708"/>
          <w:tab w:val="left" w:pos="1134" w:leader="none"/>
        </w:tabs>
        <w:ind w:left="0" w:firstLine="709"/>
        <w:jc w:val="both"/>
        <w:rPr>
          <w:bCs/>
        </w:rPr>
      </w:pPr>
      <w:bookmarkStart w:id="33" w:name="_Ref361337948"/>
      <w:r>
        <w:rPr>
          <w:bCs/>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3"/>
    </w:p>
    <w:p>
      <w:pPr>
        <w:pStyle w:val="ListParagraph"/>
        <w:numPr>
          <w:ilvl w:val="1"/>
          <w:numId w:val="4"/>
        </w:numPr>
        <w:shd w:val="clear" w:color="auto" w:fill="FFFFFF"/>
        <w:tabs>
          <w:tab w:val="clear" w:pos="708"/>
          <w:tab w:val="left" w:pos="1134" w:leader="none"/>
        </w:tabs>
        <w:ind w:left="0" w:firstLine="709"/>
        <w:jc w:val="both"/>
        <w:rPr>
          <w:bCs/>
        </w:rPr>
      </w:pPr>
      <w:bookmarkStart w:id="34"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4"/>
    </w:p>
    <w:p>
      <w:pPr>
        <w:pStyle w:val="ListParagraph"/>
        <w:numPr>
          <w:ilvl w:val="1"/>
          <w:numId w:val="4"/>
        </w:numPr>
        <w:shd w:val="clear" w:color="auto" w:fill="FFFFFF"/>
        <w:tabs>
          <w:tab w:val="clear" w:pos="708"/>
          <w:tab w:val="left" w:pos="1134" w:leader="none"/>
        </w:tabs>
        <w:ind w:left="0" w:firstLine="709"/>
        <w:jc w:val="both"/>
        <w:rPr>
          <w:bCs/>
        </w:rPr>
      </w:pPr>
      <w:bookmarkStart w:id="35" w:name="_Ref373243071"/>
      <w:r>
        <w:rPr>
          <w:bCs/>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5"/>
    </w:p>
    <w:p>
      <w:pPr>
        <w:pStyle w:val="ListParagraph"/>
        <w:numPr>
          <w:ilvl w:val="1"/>
          <w:numId w:val="4"/>
        </w:numPr>
        <w:shd w:val="clear" w:color="auto" w:fill="FFFFFF"/>
        <w:tabs>
          <w:tab w:val="clear" w:pos="708"/>
          <w:tab w:val="left" w:pos="1134" w:leader="none"/>
        </w:tabs>
        <w:ind w:left="0" w:firstLine="709"/>
        <w:jc w:val="both"/>
        <w:rPr>
          <w:bCs/>
        </w:rPr>
      </w:pPr>
      <w:bookmarkStart w:id="36"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6"/>
    </w:p>
    <w:p>
      <w:pPr>
        <w:pStyle w:val="ListParagraph"/>
        <w:numPr>
          <w:ilvl w:val="1"/>
          <w:numId w:val="4"/>
        </w:numPr>
        <w:shd w:val="clear" w:color="auto" w:fill="FFFFFF"/>
        <w:tabs>
          <w:tab w:val="clear" w:pos="708"/>
          <w:tab w:val="left" w:pos="1134" w:leader="none"/>
        </w:tabs>
        <w:ind w:left="0" w:firstLine="709"/>
        <w:jc w:val="both"/>
        <w:rPr>
          <w:bCs/>
        </w:rPr>
      </w:pPr>
      <w:r>
        <w:rPr>
          <w:bCs/>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hanging="0"/>
        <w:jc w:val="both"/>
        <w:rPr>
          <w:bCs/>
        </w:rPr>
      </w:pPr>
      <w:r>
        <w:rPr>
          <w:bCs/>
        </w:rPr>
      </w:r>
    </w:p>
    <w:p>
      <w:pPr>
        <w:pStyle w:val="ListParagraph"/>
        <w:numPr>
          <w:ilvl w:val="0"/>
          <w:numId w:val="4"/>
        </w:numPr>
        <w:shd w:val="clear" w:color="auto" w:fill="FFFFFF"/>
        <w:tabs>
          <w:tab w:val="clear" w:pos="708"/>
          <w:tab w:val="left" w:pos="426" w:leader="none"/>
        </w:tabs>
        <w:ind w:left="0" w:hanging="0"/>
        <w:jc w:val="center"/>
        <w:rPr>
          <w:b/>
        </w:rPr>
      </w:pPr>
      <w:r>
        <w:rPr>
          <w:b/>
          <w:bCs/>
        </w:rPr>
        <w:t>Заверения</w:t>
      </w:r>
      <w:r>
        <w:rPr>
          <w:b/>
        </w:rPr>
        <w:t xml:space="preserve"> Сторон</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12"/>
        </w:numPr>
        <w:shd w:val="clear" w:color="auto" w:fill="FFFFFF"/>
        <w:tabs>
          <w:tab w:val="clear" w:pos="708"/>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2"/>
        </w:numPr>
        <w:shd w:val="clear" w:color="auto" w:fill="FFFFFF"/>
        <w:tabs>
          <w:tab w:val="clear" w:pos="708"/>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12"/>
        </w:numPr>
        <w:shd w:val="clear" w:color="auto" w:fill="FFFFFF"/>
        <w:tabs>
          <w:tab w:val="clear" w:pos="708"/>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2"/>
        </w:numPr>
        <w:shd w:val="clear" w:color="auto" w:fill="FFFFFF"/>
        <w:tabs>
          <w:tab w:val="clear" w:pos="708"/>
          <w:tab w:val="left" w:pos="709" w:leader="none"/>
          <w:tab w:val="left" w:pos="1418" w:leader="none"/>
        </w:tabs>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Подрядчик состоит в СРО, основанной на членстве лиц осуществляющих подготовку проектной документации</w:t>
      </w:r>
      <w:r>
        <w:rPr>
          <w:rStyle w:val="FootnoteReference"/>
        </w:rPr>
        <w:footnoteReference w:id="5"/>
      </w:r>
      <w:r>
        <w:rPr/>
        <w:t>;</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архитектурно-строительного проектирования</w:t>
      </w:r>
      <w:r>
        <w:rPr>
          <w:rStyle w:val="FootnoteReference"/>
        </w:rPr>
        <w:footnoteReference w:id="6"/>
      </w:r>
      <w:r>
        <w:rPr/>
        <w:t>;</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Подрядчик согласен на многократное применение разработанной им Проектной документации и Рабочей документации 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pPr>
        <w:pStyle w:val="Normal"/>
        <w:numPr>
          <w:ilvl w:val="1"/>
          <w:numId w:val="4"/>
        </w:numPr>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709" w:hanging="0"/>
        <w:jc w:val="both"/>
        <w:rPr>
          <w:b/>
        </w:rPr>
      </w:pPr>
      <w:r>
        <w:rPr>
          <w:b/>
        </w:rPr>
      </w:r>
    </w:p>
    <w:p>
      <w:pPr>
        <w:pStyle w:val="ListParagraph"/>
        <w:numPr>
          <w:ilvl w:val="0"/>
          <w:numId w:val="4"/>
        </w:numPr>
        <w:shd w:val="clear" w:color="auto" w:fill="FFFFFF"/>
        <w:tabs>
          <w:tab w:val="clear" w:pos="708"/>
          <w:tab w:val="left" w:pos="426" w:leader="none"/>
        </w:tabs>
        <w:ind w:left="0" w:hanging="0"/>
        <w:jc w:val="center"/>
        <w:rPr>
          <w:b/>
        </w:rPr>
      </w:pPr>
      <w:r>
        <w:rPr>
          <w:b/>
          <w:bCs/>
        </w:rPr>
        <w:t>П</w:t>
      </w:r>
      <w:r>
        <w:rPr>
          <w:b/>
        </w:rPr>
        <w:t>рекращение (расторжение) Договора</w:t>
      </w:r>
    </w:p>
    <w:p>
      <w:pPr>
        <w:pStyle w:val="ListParagraph"/>
        <w:numPr>
          <w:ilvl w:val="1"/>
          <w:numId w:val="4"/>
        </w:numPr>
        <w:shd w:val="clear" w:color="auto" w:fill="FFFFFF"/>
        <w:tabs>
          <w:tab w:val="clear" w:pos="708"/>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16.8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4"/>
        </w:numPr>
        <w:shd w:val="clear" w:color="auto" w:fill="FFFFFF"/>
        <w:tabs>
          <w:tab w:val="clear" w:pos="708"/>
          <w:tab w:val="left" w:pos="1134" w:leader="none"/>
        </w:tabs>
        <w:ind w:left="0" w:firstLine="709"/>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4"/>
        </w:numPr>
        <w:shd w:val="clear" w:color="auto" w:fill="FFFFFF"/>
        <w:tabs>
          <w:tab w:val="clear" w:pos="708"/>
          <w:tab w:val="left" w:pos="1134" w:leader="none"/>
        </w:tabs>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4"/>
        </w:numPr>
        <w:shd w:val="clear" w:color="auto" w:fill="FFFFFF"/>
        <w:tabs>
          <w:tab w:val="clear" w:pos="708"/>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9"/>
        </w:numPr>
        <w:tabs>
          <w:tab w:val="clear" w:pos="708"/>
          <w:tab w:val="left" w:pos="1134" w:leader="none"/>
        </w:tabs>
        <w:ind w:left="0" w:right="23" w:firstLine="709"/>
        <w:jc w:val="both"/>
        <w:rPr/>
      </w:pPr>
      <w:r>
        <w:rPr/>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w:t>
      </w:r>
      <w:r>
        <w:rPr>
          <w:highlight w:val="lightGray"/>
        </w:rPr>
        <w:t>30 (тридцать) календарных дней</w:t>
      </w:r>
      <w:r>
        <w:rPr>
          <w:rStyle w:val="FootnoteReference"/>
          <w:highlight w:val="lightGray"/>
        </w:rPr>
        <w:footnoteReference w:id="7"/>
      </w:r>
      <w:r>
        <w:rPr>
          <w:highlight w:val="lightGray"/>
        </w:rPr>
        <w:t xml:space="preserve"> / 60 (шестьдесят) календарных дней</w:t>
      </w:r>
      <w:r>
        <w:rPr>
          <w:rStyle w:val="FootnoteReference"/>
          <w:highlight w:val="lightGray"/>
        </w:rPr>
        <w:footnoteReference w:id="8"/>
      </w:r>
      <w:r>
        <w:rPr/>
        <w:t xml:space="preserve"> по причинам, не зависящим от Заказчика;</w:t>
      </w:r>
    </w:p>
    <w:p>
      <w:pPr>
        <w:pStyle w:val="ListParagraph"/>
        <w:numPr>
          <w:ilvl w:val="0"/>
          <w:numId w:val="9"/>
        </w:numPr>
        <w:tabs>
          <w:tab w:val="clear" w:pos="708"/>
          <w:tab w:val="left" w:pos="1134" w:leader="none"/>
        </w:tabs>
        <w:ind w:left="0" w:right="23" w:firstLine="709"/>
        <w:jc w:val="both"/>
        <w:rPr/>
      </w:pPr>
      <w:r>
        <w:rPr/>
        <w:t>несоблюдение Подрядчиком требований к качеству Работ</w:t>
      </w:r>
      <w:r>
        <w:rPr>
          <w:bCs/>
        </w:rPr>
        <w:t>,</w:t>
      </w:r>
      <w:r>
        <w:rPr/>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9"/>
        </w:numPr>
        <w:tabs>
          <w:tab w:val="clear" w:pos="708"/>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9"/>
        </w:numPr>
        <w:tabs>
          <w:tab w:val="clear" w:pos="708"/>
          <w:tab w:val="left" w:pos="1134" w:leader="none"/>
        </w:tabs>
        <w:ind w:left="0" w:right="23" w:firstLine="709"/>
        <w:jc w:val="both"/>
        <w:rPr/>
      </w:pPr>
      <w:r>
        <w:rPr/>
        <w:t xml:space="preserve">прекращение членства в СРО, основанной на членстве лиц, </w:t>
      </w:r>
      <w:r>
        <w:rPr>
          <w:highlight w:val="lightGray"/>
        </w:rPr>
        <w:t>выполняющих инженерные изыскания / осуществляющих подготовку проектной документации</w:t>
      </w:r>
      <w:r>
        <w:rPr/>
        <w:t>, предоставляющих Подрядчику право на производство Работ по Договору</w:t>
      </w:r>
      <w:r>
        <w:rPr>
          <w:rStyle w:val="FootnoteCharacters"/>
        </w:rPr>
        <w:t xml:space="preserve"> </w:t>
      </w:r>
      <w:r>
        <w:rPr>
          <w:rStyle w:val="FootnoteReference"/>
        </w:rPr>
        <w:footnoteReference w:id="9"/>
      </w:r>
      <w:r>
        <w:rPr>
          <w:rStyle w:val="FootnoteCharacters"/>
          <w:position w:val="0"/>
          <w:sz w:val="24"/>
          <w:vertAlign w:val="baseline"/>
        </w:rPr>
        <w:t>;</w:t>
      </w:r>
    </w:p>
    <w:p>
      <w:pPr>
        <w:pStyle w:val="ListParagraph"/>
        <w:numPr>
          <w:ilvl w:val="0"/>
          <w:numId w:val="9"/>
        </w:numPr>
        <w:tabs>
          <w:tab w:val="clear" w:pos="708"/>
          <w:tab w:val="left" w:pos="1134" w:leader="none"/>
        </w:tabs>
        <w:ind w:left="0" w:right="23" w:firstLine="709"/>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FootnoteReference"/>
        </w:rPr>
        <w:footnoteReference w:id="10"/>
      </w:r>
      <w:r>
        <w:rPr/>
        <w:t>;</w:t>
      </w:r>
    </w:p>
    <w:p>
      <w:pPr>
        <w:pStyle w:val="ListParagraph"/>
        <w:numPr>
          <w:ilvl w:val="0"/>
          <w:numId w:val="9"/>
        </w:numPr>
        <w:tabs>
          <w:tab w:val="clear" w:pos="708"/>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9"/>
        </w:numPr>
        <w:tabs>
          <w:tab w:val="clear" w:pos="708"/>
          <w:tab w:val="left" w:pos="1134" w:leader="none"/>
        </w:tabs>
        <w:ind w:left="0" w:right="23" w:firstLine="709"/>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9"/>
        </w:numPr>
        <w:tabs>
          <w:tab w:val="clear" w:pos="708"/>
          <w:tab w:val="left" w:pos="1134" w:leader="none"/>
        </w:tabs>
        <w:ind w:left="0" w:right="23" w:firstLine="709"/>
        <w:jc w:val="both"/>
        <w:rPr/>
      </w:pPr>
      <w:r>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9"/>
        </w:numPr>
        <w:tabs>
          <w:tab w:val="clear" w:pos="708"/>
          <w:tab w:val="left" w:pos="1134" w:leader="none"/>
        </w:tabs>
        <w:ind w:left="0" w:right="23"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pPr>
        <w:pStyle w:val="ListParagraph"/>
        <w:numPr>
          <w:ilvl w:val="1"/>
          <w:numId w:val="4"/>
        </w:numPr>
        <w:shd w:val="clear" w:color="auto" w:fill="FFFFFF"/>
        <w:tabs>
          <w:tab w:val="clear" w:pos="708"/>
          <w:tab w:val="left" w:pos="1134" w:leader="none"/>
        </w:tabs>
        <w:ind w:left="0" w:firstLine="709"/>
        <w:jc w:val="both"/>
        <w:rPr/>
      </w:pPr>
      <w:r>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4"/>
        </w:numPr>
        <w:shd w:val="clear" w:color="auto" w:fill="FFFFFF"/>
        <w:tabs>
          <w:tab w:val="clear" w:pos="708"/>
          <w:tab w:val="left" w:pos="1134" w:leader="none"/>
        </w:tabs>
        <w:ind w:left="0" w:firstLine="709"/>
        <w:jc w:val="both"/>
        <w:rPr/>
      </w:pPr>
      <w:r>
        <w:rPr/>
        <w:t>С даты прекращения (расторжения) Договора Подрядчик обязан прекратить производство Работ, и в согласованные Сторонами сроки:</w:t>
      </w:r>
    </w:p>
    <w:p>
      <w:pPr>
        <w:pStyle w:val="ListParagraph"/>
        <w:numPr>
          <w:ilvl w:val="0"/>
          <w:numId w:val="19"/>
        </w:numPr>
        <w:shd w:val="clear" w:color="auto" w:fill="FFFFFF"/>
        <w:tabs>
          <w:tab w:val="clear" w:pos="708"/>
          <w:tab w:val="left" w:pos="1418" w:leader="none"/>
        </w:tabs>
        <w:ind w:left="0" w:firstLine="709"/>
        <w:jc w:val="both"/>
        <w:rPr/>
      </w:pPr>
      <w:r>
        <w:rPr/>
        <w:t>передать Заказчику результаты выполненных Работ, техническую и иную полученную документацию</w:t>
      </w:r>
      <w:r>
        <w:rPr>
          <w:bCs/>
        </w:rPr>
        <w:t>;</w:t>
      </w:r>
    </w:p>
    <w:p>
      <w:pPr>
        <w:pStyle w:val="ListParagraph"/>
        <w:numPr>
          <w:ilvl w:val="0"/>
          <w:numId w:val="19"/>
        </w:numPr>
        <w:shd w:val="clear" w:color="auto" w:fill="FFFFFF"/>
        <w:tabs>
          <w:tab w:val="clear" w:pos="708"/>
          <w:tab w:val="left" w:pos="1418" w:leader="none"/>
        </w:tabs>
        <w:ind w:left="0" w:firstLine="709"/>
        <w:jc w:val="both"/>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19"/>
        </w:numPr>
        <w:shd w:val="clear" w:color="auto" w:fill="FFFFFF"/>
        <w:tabs>
          <w:tab w:val="clear" w:pos="708"/>
          <w:tab w:val="left" w:pos="1418" w:leader="none"/>
        </w:tabs>
        <w:ind w:left="0" w:firstLine="709"/>
        <w:jc w:val="both"/>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место производства Работ чистым и безопасным.</w:t>
      </w:r>
    </w:p>
    <w:p>
      <w:pPr>
        <w:pStyle w:val="ListParagraph"/>
        <w:numPr>
          <w:ilvl w:val="1"/>
          <w:numId w:val="4"/>
        </w:numPr>
        <w:shd w:val="clear" w:color="auto" w:fill="FFFFFF"/>
        <w:tabs>
          <w:tab w:val="clear" w:pos="708"/>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8"/>
          <w:tab w:val="left" w:pos="1134" w:leader="none"/>
        </w:tabs>
        <w:ind w:left="709" w:hanging="0"/>
        <w:jc w:val="both"/>
        <w:rPr/>
      </w:pPr>
      <w:r>
        <w:rPr/>
      </w:r>
    </w:p>
    <w:p>
      <w:pPr>
        <w:pStyle w:val="ListParagraph"/>
        <w:numPr>
          <w:ilvl w:val="0"/>
          <w:numId w:val="4"/>
        </w:numPr>
        <w:shd w:val="clear" w:color="auto" w:fill="FFFFFF"/>
        <w:tabs>
          <w:tab w:val="clear" w:pos="708"/>
          <w:tab w:val="left" w:pos="426" w:leader="none"/>
        </w:tabs>
        <w:ind w:left="0" w:hanging="0"/>
        <w:jc w:val="center"/>
        <w:rPr>
          <w:bCs/>
        </w:rPr>
      </w:pPr>
      <w:r>
        <w:rPr>
          <w:b/>
          <w:bCs/>
        </w:rPr>
        <w:t>Разрешение споров</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 xml:space="preserve">Споры, указанные в пункте 15.1 Договора, которые не были урегулированы Сторонами путем переговоров, подлежат разрешению в Арбитражном суде </w:t>
      </w:r>
      <w:r>
        <w:rPr>
          <w:bCs/>
          <w:u w:val="single"/>
        </w:rPr>
        <w:t>Еврейской Автономной Области</w:t>
      </w:r>
      <w:r>
        <w:rPr>
          <w:bCs/>
        </w:rPr>
        <w:t xml:space="preserve"> в соответствии с законодательством Российской Федерации, за исключением споров из Независимой гарантии, подсудность которых предусмотрена разделом 6 Договора.</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16.8 Договора.</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8"/>
          <w:tab w:val="left" w:pos="1418" w:leader="none"/>
        </w:tabs>
        <w:ind w:left="0" w:firstLine="567"/>
        <w:jc w:val="both"/>
        <w:rPr>
          <w:b/>
          <w:bCs/>
        </w:rPr>
      </w:pPr>
      <w:r>
        <w:rPr>
          <w:b/>
          <w:bCs/>
        </w:rPr>
      </w:r>
    </w:p>
    <w:p>
      <w:pPr>
        <w:pStyle w:val="ListParagraph"/>
        <w:numPr>
          <w:ilvl w:val="0"/>
          <w:numId w:val="4"/>
        </w:numPr>
        <w:shd w:val="clear" w:color="auto" w:fill="FFFFFF"/>
        <w:tabs>
          <w:tab w:val="clear" w:pos="708"/>
          <w:tab w:val="left" w:pos="426" w:leader="none"/>
        </w:tabs>
        <w:ind w:left="0" w:hanging="0"/>
        <w:jc w:val="center"/>
        <w:rPr>
          <w:b/>
          <w:bCs/>
        </w:rPr>
      </w:pPr>
      <w:r>
        <w:rPr>
          <w:b/>
          <w:bCs/>
        </w:rPr>
        <w:t>Заключительные положения</w:t>
      </w:r>
    </w:p>
    <w:p>
      <w:pPr>
        <w:pStyle w:val="ListParagraph"/>
        <w:numPr>
          <w:ilvl w:val="1"/>
          <w:numId w:val="4"/>
        </w:numPr>
        <w:shd w:val="clear" w:color="auto" w:fill="FFFFFF"/>
        <w:tabs>
          <w:tab w:val="clear" w:pos="708"/>
          <w:tab w:val="left" w:pos="1134" w:leader="none"/>
        </w:tabs>
        <w:ind w:left="0" w:firstLine="709"/>
        <w:jc w:val="both"/>
        <w:rPr/>
      </w:pPr>
      <w:r>
        <w:rPr/>
        <w:t>Договор вступает в силу с даты его подписания Сторонами и действует до полного исполнения ими принятых на себя обязательств.</w:t>
      </w:r>
    </w:p>
    <w:p>
      <w:pPr>
        <w:pStyle w:val="ListParagraph"/>
        <w:numPr>
          <w:ilvl w:val="1"/>
          <w:numId w:val="4"/>
        </w:numPr>
        <w:shd w:val="clear" w:color="auto" w:fill="FFFFFF"/>
        <w:tabs>
          <w:tab w:val="clear" w:pos="708"/>
          <w:tab w:val="left" w:pos="1134" w:leader="none"/>
        </w:tabs>
        <w:ind w:left="0" w:firstLine="709"/>
        <w:jc w:val="both"/>
        <w:rPr/>
      </w:pPr>
      <w:r>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уполномоченных представителей Сторон. </w:t>
      </w:r>
    </w:p>
    <w:p>
      <w:pPr>
        <w:pStyle w:val="ListParagraph"/>
        <w:shd w:val="clear" w:color="auto" w:fill="FFFFFF"/>
        <w:tabs>
          <w:tab w:val="clear" w:pos="708"/>
          <w:tab w:val="left" w:pos="1134" w:leader="none"/>
        </w:tabs>
        <w:ind w:left="0" w:firstLine="709"/>
        <w:jc w:val="both"/>
        <w:rPr/>
      </w:pPr>
      <w:r>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numPr>
          <w:ilvl w:val="1"/>
          <w:numId w:val="4"/>
        </w:numPr>
        <w:shd w:val="clear" w:color="auto" w:fill="FFFFFF"/>
        <w:tabs>
          <w:tab w:val="clear" w:pos="708"/>
          <w:tab w:val="left" w:pos="1134" w:leader="none"/>
        </w:tabs>
        <w:ind w:left="0" w:firstLine="709"/>
        <w:jc w:val="both"/>
        <w:rPr/>
      </w:pPr>
      <w:r>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16.7 Договора.</w:t>
      </w:r>
    </w:p>
    <w:p>
      <w:pPr>
        <w:pStyle w:val="ListParagraph"/>
        <w:numPr>
          <w:ilvl w:val="1"/>
          <w:numId w:val="4"/>
        </w:numPr>
        <w:shd w:val="clear" w:color="auto" w:fill="FFFFFF"/>
        <w:tabs>
          <w:tab w:val="clear" w:pos="708"/>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4"/>
        </w:numPr>
        <w:shd w:val="clear" w:color="auto" w:fill="FFFFFF"/>
        <w:tabs>
          <w:tab w:val="clear" w:pos="708"/>
          <w:tab w:val="left" w:pos="1134"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4"/>
        </w:numPr>
        <w:shd w:val="clear" w:color="auto" w:fill="FFFFFF"/>
        <w:tabs>
          <w:tab w:val="clear" w:pos="708"/>
          <w:tab w:val="left" w:pos="1134" w:leader="none"/>
        </w:tabs>
        <w:ind w:lef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4"/>
        </w:numPr>
        <w:shd w:val="clear" w:color="auto" w:fill="FFFFFF"/>
        <w:tabs>
          <w:tab w:val="clear" w:pos="708"/>
          <w:tab w:val="left" w:pos="1134" w:leader="none"/>
        </w:tabs>
        <w:ind w:left="0" w:firstLine="709"/>
        <w:jc w:val="both"/>
        <w:rPr/>
      </w:pPr>
      <w:bookmarkStart w:id="37" w:name="_Ref361338004"/>
      <w:r>
        <w:rPr/>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7"/>
      <w:r>
        <w:rPr/>
        <w:t xml:space="preserve"> </w:t>
      </w:r>
    </w:p>
    <w:p>
      <w:pPr>
        <w:pStyle w:val="ListParagraph"/>
        <w:numPr>
          <w:ilvl w:val="1"/>
          <w:numId w:val="4"/>
        </w:numPr>
        <w:shd w:val="clear" w:color="auto" w:fill="FFFFFF"/>
        <w:tabs>
          <w:tab w:val="clear" w:pos="708"/>
          <w:tab w:val="left" w:pos="1134" w:leader="none"/>
        </w:tabs>
        <w:ind w:left="0" w:firstLine="709"/>
        <w:jc w:val="both"/>
        <w:rPr>
          <w:bCs/>
        </w:rPr>
      </w:pPr>
      <w:bookmarkStart w:id="38" w:name="_Ref361338019"/>
      <w:r>
        <w:rPr/>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38"/>
    </w:p>
    <w:p>
      <w:pPr>
        <w:pStyle w:val="ListParagraph"/>
        <w:numPr>
          <w:ilvl w:val="2"/>
          <w:numId w:val="4"/>
        </w:numPr>
        <w:shd w:val="clear" w:color="auto" w:fill="FFFFFF"/>
        <w:tabs>
          <w:tab w:val="clear" w:pos="708"/>
          <w:tab w:val="left" w:pos="1701" w:leader="none"/>
        </w:tabs>
        <w:ind w:left="0" w:firstLine="709"/>
        <w:jc w:val="both"/>
        <w:rPr>
          <w:bCs/>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pPr>
        <w:pStyle w:val="ListParagraph"/>
        <w:numPr>
          <w:ilvl w:val="2"/>
          <w:numId w:val="4"/>
        </w:numPr>
        <w:shd w:val="clear" w:color="auto" w:fill="FFFFFF"/>
        <w:tabs>
          <w:tab w:val="clear" w:pos="708"/>
          <w:tab w:val="left" w:pos="1701" w:leader="none"/>
        </w:tabs>
        <w:ind w:left="0" w:firstLine="709"/>
        <w:jc w:val="both"/>
        <w:rPr>
          <w:bCs/>
        </w:rPr>
      </w:pPr>
      <w:bookmarkStart w:id="39" w:name="_Ref361338032"/>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9"/>
    </w:p>
    <w:p>
      <w:pPr>
        <w:pStyle w:val="ListParagraph"/>
        <w:numPr>
          <w:ilvl w:val="2"/>
          <w:numId w:val="4"/>
        </w:numPr>
        <w:shd w:val="clear" w:color="auto" w:fill="FFFFFF"/>
        <w:tabs>
          <w:tab w:val="clear" w:pos="708"/>
          <w:tab w:val="left" w:pos="1701" w:leader="none"/>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clear" w:pos="708"/>
          <w:tab w:val="left" w:pos="1701" w:leader="none"/>
        </w:tabs>
        <w:ind w:left="0" w:firstLine="709"/>
        <w:jc w:val="both"/>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16.8.1,16.8.2 Договора. </w:t>
      </w:r>
    </w:p>
    <w:p>
      <w:pPr>
        <w:pStyle w:val="ListParagraph"/>
        <w:shd w:val="clear" w:color="auto" w:fill="FFFFFF"/>
        <w:tabs>
          <w:tab w:val="clear" w:pos="708"/>
          <w:tab w:val="left" w:pos="0" w:leader="none"/>
          <w:tab w:val="left" w:pos="1134" w:leader="none"/>
          <w:tab w:val="left" w:pos="1418" w:leader="none"/>
          <w:tab w:val="left" w:pos="1701" w:leader="none"/>
        </w:tabs>
        <w:ind w:left="0" w:firstLine="709"/>
        <w:jc w:val="both"/>
        <w:rPr>
          <w:bCs/>
          <w:iCs/>
          <w:color w:val="000000"/>
        </w:rPr>
      </w:pPr>
      <w:r>
        <w:rPr>
          <w:bCs/>
        </w:rPr>
        <w:t xml:space="preserve">В случае заключения Соглашения, согласно которому </w:t>
      </w:r>
      <w: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4"/>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4"/>
        </w:numPr>
        <w:shd w:val="clear" w:color="auto" w:fill="FFFFFF"/>
        <w:tabs>
          <w:tab w:val="clear" w:pos="708"/>
          <w:tab w:val="left" w:pos="568" w:leader="none"/>
        </w:tabs>
        <w:ind w:left="0" w:firstLine="709"/>
        <w:jc w:val="both"/>
        <w:rPr/>
      </w:pPr>
      <w:r>
        <w:rPr>
          <w:bCs/>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w:t>
      </w:r>
      <w:r>
        <w:rPr>
          <w:bCs/>
          <w:shd w:fill="FFFF00" w:val="clear"/>
        </w:rPr>
        <w:t xml:space="preserve"> </w:t>
      </w:r>
      <w:r>
        <w:rPr>
          <w:bCs/>
        </w:rPr>
        <w:t xml:space="preserve">только с предварительного письменного согласия Заказчика и оформляется трехсторонним договором. </w:t>
      </w:r>
    </w:p>
    <w:p>
      <w:pPr>
        <w:pStyle w:val="ListParagraph"/>
        <w:numPr>
          <w:ilvl w:val="1"/>
          <w:numId w:val="4"/>
        </w:numPr>
        <w:shd w:val="clear" w:color="auto" w:fill="FFFFFF"/>
        <w:tabs>
          <w:tab w:val="clear" w:pos="708"/>
          <w:tab w:val="left" w:pos="1134"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4"/>
        </w:numPr>
        <w:shd w:val="clear" w:color="auto" w:fill="FFFFFF"/>
        <w:tabs>
          <w:tab w:val="clear" w:pos="708"/>
          <w:tab w:val="left" w:pos="0" w:leader="none"/>
          <w:tab w:val="left" w:pos="709" w:leader="none"/>
          <w:tab w:val="left" w:pos="851" w:leader="none"/>
          <w:tab w:val="left" w:pos="993" w:leader="none"/>
          <w:tab w:val="left" w:pos="1134" w:leader="none"/>
          <w:tab w:val="left" w:pos="1701" w:leader="none"/>
          <w:tab w:val="left" w:pos="2130" w:leader="none"/>
        </w:tabs>
        <w:ind w:left="0" w:firstLine="709"/>
        <w:jc w:val="both"/>
        <w:rPr/>
      </w:pPr>
      <w:r>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«Электрические сети ЕАО» расположенный по адресу: (679011, г. Биробиджан, ЕАО, ул.Черноморская, д.6) ИНН </w:t>
      </w:r>
      <w:r>
        <w:rPr>
          <w:rFonts w:cs="Arial"/>
          <w:color w:val="000000"/>
          <w:u w:val="single"/>
        </w:rPr>
        <w:t>2801108200</w:t>
      </w:r>
      <w:r>
        <w:rPr>
          <w:u w:val="single"/>
        </w:rPr>
        <w:t>,</w:t>
      </w:r>
      <w:r>
        <w:rPr/>
        <w:t xml:space="preserve"> КПП </w:t>
      </w:r>
      <w:r>
        <w:rPr>
          <w:u w:val="single"/>
        </w:rPr>
        <w:t>790102001</w:t>
      </w:r>
      <w:r>
        <w:rP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widowControl w:val="false"/>
        <w:tabs>
          <w:tab w:val="clear" w:pos="708"/>
          <w:tab w:val="left" w:pos="993" w:leader="none"/>
        </w:tabs>
        <w:spacing w:lineRule="auto" w:line="240"/>
        <w:ind w:right="-2" w:firstLine="709"/>
        <w:rPr>
          <w:bCs/>
          <w:iCs/>
          <w:sz w:val="24"/>
        </w:rPr>
      </w:pPr>
      <w:r>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филиала АО «ДРСК».</w:t>
      </w:r>
    </w:p>
    <w:p>
      <w:pPr>
        <w:pStyle w:val="Normal"/>
        <w:shd w:val="clear" w:color="auto" w:fill="FFFFFF"/>
        <w:tabs>
          <w:tab w:val="clear" w:pos="708"/>
          <w:tab w:val="left" w:pos="1134" w:leader="none"/>
        </w:tabs>
        <w:spacing w:lineRule="auto" w:line="240"/>
        <w:ind w:firstLine="709"/>
        <w:rPr>
          <w:bCs/>
          <w:iCs/>
          <w:sz w:val="24"/>
        </w:rPr>
      </w:pPr>
      <w:r>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филиала АО «ДРСК». В случае отсутствия контактной информации поступившие документы не считаются поступившими в филиал АО «ДРСК.</w:t>
      </w:r>
    </w:p>
    <w:p>
      <w:pPr>
        <w:pStyle w:val="ListParagraph"/>
        <w:shd w:val="clear" w:color="auto" w:fill="FFFFFF"/>
        <w:ind w:left="0" w:firstLine="567"/>
        <w:rPr>
          <w:bCs/>
        </w:rPr>
      </w:pPr>
      <w:r>
        <w:rPr>
          <w:bCs/>
        </w:rPr>
      </w:r>
    </w:p>
    <w:p>
      <w:pPr>
        <w:pStyle w:val="ListParagraph"/>
        <w:numPr>
          <w:ilvl w:val="0"/>
          <w:numId w:val="4"/>
        </w:numPr>
        <w:shd w:val="clear" w:color="auto" w:fill="FFFFFF"/>
        <w:tabs>
          <w:tab w:val="clear" w:pos="708"/>
          <w:tab w:val="left" w:pos="426" w:leader="none"/>
        </w:tabs>
        <w:ind w:left="0" w:hanging="0"/>
        <w:jc w:val="center"/>
        <w:rPr>
          <w:b/>
          <w:bCs/>
        </w:rPr>
      </w:pPr>
      <w:r>
        <w:rPr>
          <w:b/>
          <w:bCs/>
        </w:rPr>
        <w:t>Список приложений</w:t>
      </w:r>
    </w:p>
    <w:p>
      <w:pPr>
        <w:pStyle w:val="ListParagraph"/>
        <w:shd w:val="clear" w:color="auto" w:fill="FFFFFF"/>
        <w:ind w:left="0" w:hanging="0"/>
        <w:jc w:val="both"/>
        <w:rPr>
          <w:bCs/>
        </w:rPr>
      </w:pPr>
      <w:r>
        <w:rPr/>
        <w:t xml:space="preserve">Приложение № </w:t>
      </w:r>
      <w:r>
        <w:rPr>
          <w:bCs/>
        </w:rPr>
        <w:t>1 – Техническое задание;</w:t>
      </w:r>
    </w:p>
    <w:p>
      <w:pPr>
        <w:pStyle w:val="ListParagraph"/>
        <w:shd w:val="clear" w:color="auto" w:fill="FFFFFF"/>
        <w:ind w:left="0" w:hanging="0"/>
        <w:jc w:val="both"/>
        <w:rPr>
          <w:bCs/>
        </w:rPr>
      </w:pPr>
      <w:r>
        <w:rPr>
          <w:bCs/>
        </w:rPr>
        <w:t>Приложение № 2 – Календарный график выполнения Работ;</w:t>
      </w:r>
    </w:p>
    <w:p>
      <w:pPr>
        <w:pStyle w:val="ListParagraph"/>
        <w:shd w:val="clear" w:color="auto" w:fill="FFFFFF"/>
        <w:ind w:left="0" w:hanging="0"/>
        <w:jc w:val="both"/>
        <w:rPr>
          <w:bCs/>
        </w:rPr>
      </w:pPr>
      <w:r>
        <w:rPr>
          <w:bCs/>
        </w:rPr>
        <w:t>Приложение № 3 – Сводная смета с приложениями;</w:t>
      </w:r>
    </w:p>
    <w:p>
      <w:pPr>
        <w:pStyle w:val="ListParagraph"/>
        <w:shd w:val="clear" w:color="auto" w:fill="FFFFFF"/>
        <w:ind w:left="0" w:hanging="0"/>
        <w:jc w:val="both"/>
        <w:rPr>
          <w:bCs/>
        </w:rPr>
      </w:pPr>
      <w:r>
        <w:rPr>
          <w:bCs/>
        </w:rPr>
        <w:t xml:space="preserve">Приложение № 4.1 – </w:t>
      </w:r>
      <w:r>
        <w:rPr>
          <w:bCs/>
          <w:iCs/>
        </w:rPr>
        <w:t xml:space="preserve">Форма Акта </w:t>
      </w:r>
      <w:r>
        <w:rPr>
          <w:bCs/>
        </w:rPr>
        <w:t>сдачи-приемки места производства Работ, места (помещения) для складирования Материально-технических ресурсов и оборудования.</w:t>
      </w:r>
    </w:p>
    <w:p>
      <w:pPr>
        <w:pStyle w:val="ListParagraph"/>
        <w:shd w:val="clear" w:color="auto" w:fill="FFFFFF"/>
        <w:ind w:left="0" w:hanging="0"/>
        <w:jc w:val="both"/>
        <w:rPr>
          <w:bCs/>
        </w:rPr>
      </w:pPr>
      <w:r>
        <w:rPr>
          <w:bCs/>
        </w:rPr>
        <w:t>Приложение № 4.2 – Форма Акта сдачи-приемки технической и иной документации;</w:t>
      </w:r>
    </w:p>
    <w:p>
      <w:pPr>
        <w:pStyle w:val="ListParagraph"/>
        <w:shd w:val="clear" w:color="auto" w:fill="FFFFFF"/>
        <w:ind w:left="0" w:hanging="0"/>
        <w:jc w:val="both"/>
        <w:rPr>
          <w:bCs/>
        </w:rPr>
      </w:pPr>
      <w:r>
        <w:rPr>
          <w:bCs/>
        </w:rPr>
        <w:t xml:space="preserve">Приложение № 5 – Перечень допусков, разрешений и лицензий Подрядчика; </w:t>
      </w:r>
    </w:p>
    <w:p>
      <w:pPr>
        <w:pStyle w:val="ListParagraph"/>
        <w:shd w:val="clear" w:color="auto" w:fill="FFFFFF"/>
        <w:ind w:left="0" w:hanging="0"/>
        <w:jc w:val="both"/>
        <w:rPr>
          <w:bCs/>
        </w:rPr>
      </w:pPr>
      <w:r>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hanging="0"/>
        <w:jc w:val="both"/>
        <w:rPr>
          <w:bCs/>
        </w:rPr>
      </w:pPr>
      <w:r>
        <w:rPr>
          <w:bCs/>
        </w:rPr>
        <w:t>Приложение № 7 – Форма Акта сдачи-приемки выполненных работ;</w:t>
      </w:r>
    </w:p>
    <w:p>
      <w:pPr>
        <w:pStyle w:val="ListParagraph"/>
        <w:shd w:val="clear" w:color="auto" w:fill="FFFFFF"/>
        <w:ind w:left="0" w:hanging="0"/>
        <w:jc w:val="both"/>
        <w:rPr>
          <w:bCs/>
        </w:rPr>
      </w:pPr>
      <w:r>
        <w:rPr>
          <w:bCs/>
        </w:rPr>
      </w:r>
    </w:p>
    <w:p>
      <w:pPr>
        <w:pStyle w:val="ListParagraph"/>
        <w:shd w:val="clear" w:color="auto" w:fill="FFFFFF"/>
        <w:ind w:left="0" w:hanging="0"/>
        <w:jc w:val="both"/>
        <w:rPr>
          <w:bCs/>
        </w:rPr>
      </w:pPr>
      <w:r>
        <w:rPr>
          <w:bCs/>
        </w:rPr>
      </w:r>
    </w:p>
    <w:p>
      <w:pPr>
        <w:pStyle w:val="ListParagraph"/>
        <w:numPr>
          <w:ilvl w:val="0"/>
          <w:numId w:val="4"/>
        </w:numPr>
        <w:shd w:val="clear" w:color="auto" w:fill="FFFFFF"/>
        <w:tabs>
          <w:tab w:val="clear" w:pos="708"/>
          <w:tab w:val="left" w:pos="426" w:leader="none"/>
        </w:tabs>
        <w:ind w:left="0" w:hanging="0"/>
        <w:jc w:val="center"/>
        <w:rPr>
          <w:b/>
          <w:bCs/>
        </w:rPr>
      </w:pPr>
      <w:r>
        <w:rPr>
          <w:b/>
          <w:bCs/>
        </w:rPr>
        <w:t>Адреса и платежные реквизиты Сторон</w:t>
      </w:r>
    </w:p>
    <w:p>
      <w:pPr>
        <w:pStyle w:val="ListParagraph"/>
        <w:shd w:val="clear" w:color="auto" w:fill="FFFFFF"/>
        <w:tabs>
          <w:tab w:val="clear" w:pos="708"/>
          <w:tab w:val="left" w:pos="426" w:leader="none"/>
        </w:tabs>
        <w:ind w:left="0" w:hanging="0"/>
        <w:rPr>
          <w:b/>
          <w:bCs/>
        </w:rPr>
      </w:pPr>
      <w:r>
        <w:rPr>
          <w:b/>
          <w:bCs/>
        </w:rPr>
      </w:r>
    </w:p>
    <w:tbl>
      <w:tblPr>
        <w:tblW w:w="9639" w:type="dxa"/>
        <w:jc w:val="left"/>
        <w:tblInd w:w="0" w:type="dxa"/>
        <w:tblLayout w:type="fixed"/>
        <w:tblCellMar>
          <w:top w:w="0" w:type="dxa"/>
          <w:left w:w="108" w:type="dxa"/>
          <w:bottom w:w="0" w:type="dxa"/>
          <w:right w:w="108" w:type="dxa"/>
        </w:tblCellMar>
        <w:tblLook w:val="01e0" w:noVBand="0" w:noHBand="0" w:lastColumn="1" w:firstColumn="1" w:lastRow="1" w:firstRow="1"/>
      </w:tblPr>
      <w:tblGrid>
        <w:gridCol w:w="4698"/>
        <w:gridCol w:w="145"/>
        <w:gridCol w:w="4559"/>
        <w:gridCol w:w="237"/>
      </w:tblGrid>
      <w:tr>
        <w:trPr/>
        <w:tc>
          <w:tcPr>
            <w:tcW w:w="4843" w:type="dxa"/>
            <w:gridSpan w:val="2"/>
            <w:tcBorders/>
          </w:tcPr>
          <w:p>
            <w:pPr>
              <w:pStyle w:val="Normal"/>
              <w:widowControl w:val="false"/>
              <w:spacing w:lineRule="auto" w:line="240"/>
              <w:ind w:hanging="0"/>
              <w:rPr>
                <w:sz w:val="24"/>
                <w:szCs w:val="24"/>
              </w:rPr>
            </w:pPr>
            <w:r>
              <w:rPr>
                <w:sz w:val="24"/>
                <w:szCs w:val="24"/>
              </w:rPr>
              <w:t>ЗАКАЗЧИК:</w:t>
            </w:r>
          </w:p>
        </w:tc>
        <w:tc>
          <w:tcPr>
            <w:tcW w:w="4796" w:type="dxa"/>
            <w:gridSpan w:val="2"/>
            <w:tcBorders/>
          </w:tcPr>
          <w:p>
            <w:pPr>
              <w:pStyle w:val="Normal"/>
              <w:widowControl w:val="false"/>
              <w:spacing w:lineRule="auto" w:line="240"/>
              <w:ind w:hanging="0"/>
              <w:rPr>
                <w:sz w:val="24"/>
                <w:szCs w:val="24"/>
              </w:rPr>
            </w:pPr>
            <w:r>
              <w:rPr>
                <w:sz w:val="24"/>
                <w:szCs w:val="24"/>
              </w:rPr>
              <w:t>ПОДРЯДЧИК:</w:t>
            </w:r>
          </w:p>
        </w:tc>
      </w:tr>
      <w:tr>
        <w:trPr/>
        <w:tc>
          <w:tcPr>
            <w:tcW w:w="4843" w:type="dxa"/>
            <w:gridSpan w:val="2"/>
            <w:tcBorders/>
            <w:shd w:color="auto" w:fill="BFBFBF" w:themeFill="background1" w:themeFillShade="bf"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b/>
                <w:sz w:val="24"/>
                <w:szCs w:val="24"/>
              </w:rPr>
            </w:pPr>
            <w:r>
              <w:rPr>
                <w:b/>
                <w:sz w:val="24"/>
                <w:szCs w:val="24"/>
              </w:rPr>
              <w:t>Акционерное общество</w:t>
            </w:r>
          </w:p>
          <w:p>
            <w:pPr>
              <w:pStyle w:val="Normal"/>
              <w:widowControl w:val="false"/>
              <w:spacing w:lineRule="auto" w:line="240"/>
              <w:ind w:hanging="0"/>
              <w:jc w:val="left"/>
              <w:rPr>
                <w:b/>
                <w:sz w:val="24"/>
                <w:szCs w:val="24"/>
              </w:rPr>
            </w:pPr>
            <w:r>
              <w:rPr>
                <w:b/>
                <w:sz w:val="24"/>
                <w:szCs w:val="24"/>
              </w:rPr>
              <w:t>«Дальневосточная распределительная сетевая компания» (АО «ДРСК»)</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 xml:space="preserve"> </w:t>
            </w:r>
            <w:r>
              <w:rPr>
                <w:sz w:val="24"/>
                <w:szCs w:val="24"/>
              </w:rPr>
              <w:t>(номер расчетного счета)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(наименование банка, в котором</w:t>
            </w:r>
          </w:p>
          <w:p>
            <w:pPr>
              <w:pStyle w:val="Normal"/>
              <w:widowControl w:val="false"/>
              <w:spacing w:lineRule="auto" w:line="240"/>
              <w:ind w:hanging="0"/>
              <w:jc w:val="left"/>
              <w:rPr>
                <w:sz w:val="24"/>
                <w:szCs w:val="24"/>
              </w:rPr>
            </w:pPr>
            <w:r>
              <w:rPr>
                <w:sz w:val="24"/>
                <w:szCs w:val="24"/>
              </w:rPr>
              <w:t>открыт расчетный счет)</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корреспондентского счета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(БИК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телефона)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факса)</w:t>
            </w:r>
          </w:p>
          <w:p>
            <w:pPr>
              <w:pStyle w:val="Normal"/>
              <w:widowControl w:val="false"/>
              <w:spacing w:lineRule="auto" w:line="240"/>
              <w:ind w:hanging="0"/>
              <w:jc w:val="left"/>
              <w:rPr>
                <w:sz w:val="24"/>
                <w:szCs w:val="24"/>
              </w:rPr>
            </w:pPr>
            <w:r>
              <w:rPr>
                <w:sz w:val="24"/>
                <w:szCs w:val="24"/>
              </w:rPr>
            </w:r>
          </w:p>
        </w:tc>
        <w:tc>
          <w:tcPr>
            <w:tcW w:w="4796" w:type="dxa"/>
            <w:gridSpan w:val="2"/>
            <w:tcBorders/>
            <w:shd w:color="auto" w:fill="BFBFBF" w:themeFill="background1" w:themeFillShade="bf"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r>
        <w:trPr/>
        <w:tc>
          <w:tcPr>
            <w:tcW w:w="4698" w:type="dxa"/>
            <w:tcBorders/>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highlight w:val="lightGray"/>
              </w:rPr>
            </w:pPr>
            <w:r>
              <w:rPr>
                <w:sz w:val="24"/>
                <w:szCs w:val="24"/>
                <w:highlight w:val="lightGray"/>
              </w:rPr>
              <w:t xml:space="preserve">_______________ / _______________ </w:t>
            </w:r>
          </w:p>
          <w:p>
            <w:pPr>
              <w:pStyle w:val="Normal"/>
              <w:widowControl w:val="false"/>
              <w:spacing w:lineRule="auto" w:line="240"/>
              <w:ind w:hanging="0"/>
              <w:jc w:val="left"/>
              <w:rPr>
                <w:sz w:val="24"/>
                <w:szCs w:val="24"/>
                <w:highlight w:val="lightGray"/>
              </w:rPr>
            </w:pPr>
            <w:r>
              <w:rPr>
                <w:sz w:val="24"/>
                <w:szCs w:val="24"/>
                <w:highlight w:val="lightGray"/>
              </w:rPr>
            </w:r>
          </w:p>
        </w:tc>
        <w:tc>
          <w:tcPr>
            <w:tcW w:w="4704" w:type="dxa"/>
            <w:gridSpan w:val="2"/>
            <w:tcBorders/>
          </w:tcPr>
          <w:p>
            <w:pPr>
              <w:pStyle w:val="Normal"/>
              <w:widowControl w:val="false"/>
              <w:spacing w:lineRule="auto" w:line="240"/>
              <w:ind w:hanging="0"/>
              <w:jc w:val="left"/>
              <w:rPr>
                <w:sz w:val="24"/>
                <w:szCs w:val="24"/>
                <w:highlight w:val="lightGray"/>
              </w:rPr>
            </w:pPr>
            <w:r>
              <w:rPr>
                <w:sz w:val="24"/>
                <w:szCs w:val="24"/>
                <w:highlight w:val="lightGray"/>
              </w:rPr>
            </w:r>
          </w:p>
          <w:p>
            <w:pPr>
              <w:pStyle w:val="Normal"/>
              <w:widowControl w:val="false"/>
              <w:spacing w:lineRule="auto" w:line="240"/>
              <w:ind w:hanging="0"/>
              <w:jc w:val="left"/>
              <w:rPr>
                <w:sz w:val="24"/>
                <w:szCs w:val="24"/>
              </w:rPr>
            </w:pPr>
            <w:r>
              <w:rPr>
                <w:sz w:val="24"/>
                <w:szCs w:val="24"/>
                <w:highlight w:val="lightGray"/>
              </w:rPr>
              <w:t>_______________ / _______________</w:t>
            </w:r>
          </w:p>
          <w:p>
            <w:pPr>
              <w:pStyle w:val="Normal"/>
              <w:widowControl w:val="false"/>
              <w:spacing w:lineRule="auto" w:line="240"/>
              <w:ind w:hanging="0"/>
              <w:jc w:val="left"/>
              <w:rPr>
                <w:sz w:val="24"/>
                <w:szCs w:val="24"/>
              </w:rPr>
            </w:pPr>
            <w:r>
              <w:rPr>
                <w:sz w:val="24"/>
                <w:szCs w:val="24"/>
              </w:rPr>
            </w:r>
          </w:p>
        </w:tc>
        <w:tc>
          <w:tcPr>
            <w:tcW w:w="237" w:type="dxa"/>
            <w:tcBorders/>
          </w:tcPr>
          <w:p>
            <w:pPr>
              <w:pStyle w:val="Normal"/>
              <w:widowControl w:val="false"/>
              <w:rPr/>
            </w:pPr>
            <w:r>
              <w:rPr/>
            </w:r>
          </w:p>
        </w:tc>
      </w:tr>
    </w:tbl>
    <w:p>
      <w:pPr>
        <w:sectPr>
          <w:headerReference w:type="first" r:id="rId5"/>
          <w:footnotePr>
            <w:numFmt w:val="decimal"/>
          </w:footnotePr>
          <w:type w:val="nextPage"/>
          <w:pgSz w:w="11906" w:h="16838"/>
          <w:pgMar w:left="1418" w:right="851" w:gutter="0" w:header="426" w:top="851" w:footer="0" w:bottom="1134"/>
          <w:pgNumType w:fmt="decimal"/>
          <w:formProt w:val="false"/>
          <w:titlePg/>
          <w:textDirection w:val="lrTb"/>
          <w:docGrid w:type="default" w:linePitch="381" w:charSpace="0"/>
        </w:sectPr>
      </w:pPr>
    </w:p>
    <w:p>
      <w:pPr>
        <w:pStyle w:val="Normal"/>
        <w:shd w:val="clear" w:color="auto" w:fill="FFFFFF"/>
        <w:tabs>
          <w:tab w:val="clear" w:pos="708"/>
          <w:tab w:val="left" w:pos="3148" w:leader="none"/>
          <w:tab w:val="center" w:pos="4818" w:leader="none"/>
          <w:tab w:val="left" w:pos="6926" w:leader="none"/>
        </w:tabs>
        <w:spacing w:lineRule="auto" w:line="240"/>
        <w:ind w:hanging="0"/>
        <w:jc w:val="right"/>
        <w:rPr>
          <w:sz w:val="22"/>
          <w:szCs w:val="22"/>
        </w:rPr>
      </w:pPr>
      <w:r>
        <w:rPr>
          <w:sz w:val="22"/>
          <w:szCs w:val="22"/>
        </w:rPr>
        <w:t>Приложение № 1</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________</w:t>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hanging="0"/>
        <w:jc w:val="center"/>
        <w:rPr>
          <w:b/>
          <w:sz w:val="24"/>
          <w:szCs w:val="24"/>
        </w:rPr>
      </w:pPr>
      <w:r>
        <w:rPr>
          <w:b/>
          <w:sz w:val="24"/>
          <w:szCs w:val="24"/>
        </w:rPr>
        <w:t>ТЕХНИЧЕСКОЕ ЗАДАНИЕ</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hanging="0"/>
        <w:jc w:val="left"/>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КАЛЕНДАРНЫЙ ГРАФИК ВЫПОЛНЕНИЯ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tbl>
      <w:tblPr>
        <w:tblW w:w="9634"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707"/>
        <w:gridCol w:w="271"/>
        <w:gridCol w:w="1338"/>
        <w:gridCol w:w="1421"/>
        <w:gridCol w:w="841"/>
        <w:gridCol w:w="1172"/>
        <w:gridCol w:w="777"/>
        <w:gridCol w:w="980"/>
        <w:gridCol w:w="985"/>
        <w:gridCol w:w="1141"/>
      </w:tblGrid>
      <w:tr>
        <w:trPr/>
        <w:tc>
          <w:tcPr>
            <w:tcW w:w="707"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этапа</w:t>
            </w:r>
          </w:p>
        </w:tc>
        <w:tc>
          <w:tcPr>
            <w:tcW w:w="1609"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этапа (состав Работ)</w:t>
            </w:r>
          </w:p>
        </w:tc>
        <w:tc>
          <w:tcPr>
            <w:tcW w:w="142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Обоснование стоимости этапа</w:t>
            </w:r>
          </w:p>
        </w:tc>
        <w:tc>
          <w:tcPr>
            <w:tcW w:w="201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Период выполнения этапа</w:t>
            </w:r>
          </w:p>
        </w:tc>
        <w:tc>
          <w:tcPr>
            <w:tcW w:w="777"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Цена этапа, руб. без НДС</w:t>
            </w:r>
          </w:p>
        </w:tc>
        <w:tc>
          <w:tcPr>
            <w:tcW w:w="98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0"/>
                <w:szCs w:val="20"/>
              </w:rPr>
            </w:pPr>
            <w:r>
              <w:rPr>
                <w:sz w:val="20"/>
                <w:szCs w:val="20"/>
              </w:rPr>
              <w:t>Установленная (применимая) ставка НДС</w:t>
            </w:r>
          </w:p>
        </w:tc>
        <w:tc>
          <w:tcPr>
            <w:tcW w:w="98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Сумма НДС по установленной (применимой) ставке, руб.</w:t>
            </w:r>
          </w:p>
        </w:tc>
        <w:tc>
          <w:tcPr>
            <w:tcW w:w="114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 этапа, руб. с НДС</w:t>
            </w:r>
          </w:p>
        </w:tc>
      </w:tr>
      <w:tr>
        <w:trPr/>
        <w:tc>
          <w:tcPr>
            <w:tcW w:w="70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609"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Начало</w:t>
            </w:r>
          </w:p>
        </w:tc>
        <w:tc>
          <w:tcPr>
            <w:tcW w:w="117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Окончание</w:t>
            </w:r>
          </w:p>
        </w:tc>
        <w:tc>
          <w:tcPr>
            <w:tcW w:w="77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c>
          <w:tcPr>
            <w:tcW w:w="985"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41"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1.</w:t>
            </w:r>
          </w:p>
        </w:tc>
        <w:tc>
          <w:tcPr>
            <w:tcW w:w="160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2.</w:t>
            </w:r>
          </w:p>
        </w:tc>
        <w:tc>
          <w:tcPr>
            <w:tcW w:w="160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3.</w:t>
            </w:r>
          </w:p>
        </w:tc>
        <w:tc>
          <w:tcPr>
            <w:tcW w:w="160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4.</w:t>
            </w:r>
          </w:p>
        </w:tc>
        <w:tc>
          <w:tcPr>
            <w:tcW w:w="160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97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395" w:leader="none"/>
              </w:tabs>
              <w:spacing w:lineRule="auto" w:line="240"/>
              <w:ind w:hanging="0"/>
              <w:rPr>
                <w:b/>
                <w:sz w:val="24"/>
                <w:szCs w:val="24"/>
              </w:rPr>
            </w:pPr>
            <w:r>
              <w:rPr>
                <w:b/>
                <w:sz w:val="24"/>
                <w:szCs w:val="24"/>
              </w:rPr>
            </w:r>
          </w:p>
        </w:tc>
        <w:tc>
          <w:tcPr>
            <w:tcW w:w="7514"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95" w:leader="none"/>
              </w:tabs>
              <w:spacing w:lineRule="auto" w:line="240"/>
              <w:ind w:hanging="0"/>
              <w:rPr>
                <w:b/>
                <w:sz w:val="24"/>
                <w:szCs w:val="24"/>
              </w:rPr>
            </w:pPr>
            <w:r>
              <w:rPr>
                <w:b/>
                <w:sz w:val="24"/>
                <w:szCs w:val="24"/>
              </w:rPr>
              <w:t>Непредвиденные работы и затраты (лимит)</w:t>
            </w:r>
          </w:p>
        </w:tc>
        <w:tc>
          <w:tcPr>
            <w:tcW w:w="11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
                <w:sz w:val="24"/>
                <w:szCs w:val="24"/>
              </w:rPr>
            </w:pPr>
            <w:r>
              <w:rPr>
                <w:b/>
                <w:sz w:val="24"/>
                <w:szCs w:val="24"/>
              </w:rPr>
            </w:r>
          </w:p>
        </w:tc>
      </w:tr>
      <w:tr>
        <w:trPr/>
        <w:tc>
          <w:tcPr>
            <w:tcW w:w="97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right"/>
              <w:rPr>
                <w:b/>
                <w:sz w:val="24"/>
                <w:szCs w:val="24"/>
              </w:rPr>
            </w:pPr>
            <w:r>
              <w:rPr>
                <w:b/>
                <w:sz w:val="24"/>
                <w:szCs w:val="24"/>
              </w:rPr>
            </w:r>
          </w:p>
        </w:tc>
        <w:tc>
          <w:tcPr>
            <w:tcW w:w="7514"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right"/>
              <w:rPr>
                <w:b/>
                <w:sz w:val="24"/>
                <w:szCs w:val="24"/>
              </w:rPr>
            </w:pPr>
            <w:r>
              <w:rPr>
                <w:b/>
                <w:sz w:val="24"/>
                <w:szCs w:val="24"/>
              </w:rPr>
              <w:t>Всего по Договору:</w:t>
            </w:r>
          </w:p>
        </w:tc>
        <w:tc>
          <w:tcPr>
            <w:tcW w:w="11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
                <w:sz w:val="24"/>
                <w:szCs w:val="24"/>
              </w:rPr>
            </w:pPr>
            <w:r>
              <w:rPr>
                <w:b/>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rPr>
      </w:pPr>
      <w:r>
        <w:rPr>
          <w:sz w:val="24"/>
        </w:rPr>
      </w:r>
    </w:p>
    <w:p>
      <w:pPr>
        <w:pStyle w:val="Normal"/>
        <w:spacing w:lineRule="auto" w:line="240"/>
        <w:rPr>
          <w:sz w:val="24"/>
          <w:szCs w:val="24"/>
        </w:rPr>
      </w:pPr>
      <w:r>
        <w:rPr>
          <w:sz w:val="24"/>
          <w:szCs w:val="24"/>
        </w:rPr>
      </w:r>
    </w:p>
    <w:p>
      <w:pPr>
        <w:pStyle w:val="Normal"/>
        <w:spacing w:lineRule="auto" w:line="240"/>
        <w:ind w:hanging="0"/>
        <w:rPr>
          <w:sz w:val="24"/>
        </w:rPr>
      </w:pPr>
      <w:r>
        <w:rPr>
          <w:sz w:val="24"/>
        </w:rPr>
      </w:r>
    </w:p>
    <w:tbl>
      <w:tblPr>
        <w:tblW w:w="9571" w:type="dxa"/>
        <w:jc w:val="center"/>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6"/>
          <w:headerReference w:type="first" r:id="rId7"/>
          <w:footerReference w:type="default" r:id="rId8"/>
          <w:footnotePr>
            <w:numFmt w:val="decimal"/>
          </w:footnotePr>
          <w:type w:val="nextPage"/>
          <w:pgSz w:w="11906" w:h="16838"/>
          <w:pgMar w:left="1418" w:right="851" w:gutter="0" w:header="567" w:top="1184" w:footer="284" w:bottom="1134"/>
          <w:pgNumType w:fmt="decimal"/>
          <w:formProt w:val="false"/>
          <w:textDirection w:val="lrTb"/>
          <w:docGrid w:type="default" w:linePitch="381" w:charSpace="0"/>
        </w:sectPr>
      </w:pPr>
    </w:p>
    <w:p>
      <w:pPr>
        <w:pStyle w:val="Normal"/>
        <w:spacing w:lineRule="auto" w:line="240"/>
        <w:ind w:left="4395" w:firstLine="708"/>
        <w:rPr>
          <w:sz w:val="22"/>
          <w:szCs w:val="22"/>
        </w:rPr>
      </w:pPr>
      <w:r>
        <w:rPr>
          <w:sz w:val="22"/>
          <w:szCs w:val="22"/>
        </w:rPr>
        <w:t>Приложение № 3</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СВОДНАЯ СМЕТА С ПРИЛОЖЕНИЯМИ</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left="5103" w:hanging="0"/>
        <w:jc w:val="left"/>
        <w:rPr>
          <w:sz w:val="22"/>
          <w:szCs w:val="22"/>
          <w:highlight w:val="lightGray"/>
        </w:rPr>
      </w:pPr>
      <w:r>
        <w:rPr>
          <w:sz w:val="22"/>
          <w:szCs w:val="22"/>
        </w:rPr>
        <w:t xml:space="preserve">                                                                   </w:t>
      </w:r>
      <w:r>
        <w:rPr>
          <w:sz w:val="22"/>
          <w:szCs w:val="22"/>
          <w:highlight w:val="lightGray"/>
        </w:rPr>
        <w:t>Приложение № 4.1</w:t>
      </w:r>
    </w:p>
    <w:p>
      <w:pPr>
        <w:pStyle w:val="Normal"/>
        <w:spacing w:lineRule="auto" w:line="240"/>
        <w:ind w:left="5103" w:hanging="0"/>
        <w:jc w:val="left"/>
        <w:rPr>
          <w:sz w:val="22"/>
          <w:szCs w:val="22"/>
          <w:highlight w:val="lightGray"/>
        </w:rPr>
      </w:pPr>
      <w:r>
        <w:rPr>
          <w:sz w:val="22"/>
          <w:szCs w:val="22"/>
          <w:highlight w:val="lightGray"/>
        </w:rPr>
        <w:t>к Договору подряда</w:t>
      </w:r>
    </w:p>
    <w:p>
      <w:pPr>
        <w:pStyle w:val="Normal"/>
        <w:spacing w:lineRule="auto" w:line="240"/>
        <w:ind w:left="5103" w:hanging="0"/>
        <w:jc w:val="left"/>
        <w:rPr>
          <w:sz w:val="22"/>
          <w:szCs w:val="22"/>
          <w:highlight w:val="lightGray"/>
        </w:rPr>
      </w:pPr>
      <w:r>
        <w:rPr>
          <w:sz w:val="22"/>
          <w:szCs w:val="22"/>
          <w:highlight w:val="lightGray"/>
        </w:rPr>
        <w:t xml:space="preserve">от «____» __________ 20 _ г. № ____ </w:t>
      </w:r>
    </w:p>
    <w:p>
      <w:pPr>
        <w:pStyle w:val="13"/>
        <w:jc w:val="left"/>
        <w:rPr>
          <w:i/>
          <w:i/>
          <w:highlight w:val="lightGray"/>
        </w:rPr>
      </w:pPr>
      <w:r>
        <w:rPr>
          <w:i/>
          <w:highlight w:val="lightGray"/>
        </w:rPr>
      </w:r>
    </w:p>
    <w:p>
      <w:pPr>
        <w:pStyle w:val="13"/>
        <w:jc w:val="left"/>
        <w:rPr>
          <w:i/>
          <w:i/>
          <w:highlight w:val="lightGray"/>
        </w:rPr>
      </w:pPr>
      <w:r>
        <w:rPr>
          <w:i/>
          <w:highlight w:val="lightGray"/>
        </w:rPr>
      </w:r>
    </w:p>
    <w:p>
      <w:pPr>
        <w:pStyle w:val="13"/>
        <w:rPr>
          <w:sz w:val="24"/>
          <w:szCs w:val="24"/>
          <w:highlight w:val="lightGray"/>
        </w:rPr>
      </w:pPr>
      <w:r>
        <w:rPr>
          <w:iCs/>
          <w:sz w:val="24"/>
          <w:szCs w:val="24"/>
          <w:highlight w:val="lightGray"/>
        </w:rPr>
        <w:t>ФОРМА</w:t>
      </w:r>
    </w:p>
    <w:p>
      <w:pPr>
        <w:pStyle w:val="13"/>
        <w:rPr>
          <w:i/>
          <w:i/>
          <w:iCs/>
          <w:sz w:val="24"/>
          <w:szCs w:val="24"/>
        </w:rPr>
      </w:pPr>
      <w:r>
        <w:rPr>
          <w:sz w:val="24"/>
          <w:szCs w:val="24"/>
          <w:highlight w:val="lightGray"/>
        </w:rPr>
        <w:t>Акта сдачи-приемки места производства Работ и / или</w:t>
      </w:r>
      <w:r>
        <w:rPr>
          <w:sz w:val="24"/>
          <w:highlight w:val="lightGray"/>
        </w:rPr>
        <w:t xml:space="preserve"> места (помещения) для складирования Материально-технических </w:t>
      </w:r>
      <w:r>
        <w:rPr>
          <w:sz w:val="24"/>
          <w:szCs w:val="24"/>
          <w:highlight w:val="lightGray"/>
        </w:rPr>
        <w:t>ресурсов и оборудования</w:t>
      </w:r>
    </w:p>
    <w:p>
      <w:pPr>
        <w:pStyle w:val="Normal"/>
        <w:spacing w:lineRule="auto" w:line="240"/>
        <w:ind w:hanging="0"/>
        <w:rPr>
          <w:sz w:val="24"/>
          <w:szCs w:val="24"/>
        </w:rPr>
      </w:pPr>
      <w:r>
        <w:rPr>
          <w:sz w:val="24"/>
          <w:szCs w:val="24"/>
        </w:rPr>
      </w:r>
    </w:p>
    <w:tbl>
      <w:tblPr>
        <w:tblW w:w="49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9444"/>
      </w:tblGrid>
      <w:tr>
        <w:trPr/>
        <w:tc>
          <w:tcPr>
            <w:tcW w:w="9444" w:type="dxa"/>
            <w:tcBorders>
              <w:top w:val="single" w:sz="4" w:space="0" w:color="000000"/>
              <w:left w:val="single" w:sz="4" w:space="0" w:color="000000"/>
              <w:bottom w:val="single" w:sz="4" w:space="0" w:color="000000"/>
              <w:right w:val="single" w:sz="4" w:space="0" w:color="000000"/>
            </w:tcBorders>
            <w:shd w:color="auto" w:fill="auto" w:val="clear"/>
          </w:tcPr>
          <w:p>
            <w:pPr>
              <w:pStyle w:val="13"/>
              <w:widowControl w:val="false"/>
              <w:rPr>
                <w:b w:val="false"/>
                <w:highlight w:val="lightGray"/>
              </w:rPr>
            </w:pPr>
            <w:r>
              <w:rPr>
                <w:b w:val="false"/>
                <w:highlight w:val="lightGray"/>
              </w:rPr>
              <w:t xml:space="preserve">Акт </w:t>
            </w:r>
          </w:p>
          <w:p>
            <w:pPr>
              <w:pStyle w:val="13"/>
              <w:widowControl w:val="false"/>
              <w:rPr>
                <w:b w:val="false"/>
                <w:i/>
                <w:i/>
                <w:iCs/>
                <w:highlight w:val="lightGray"/>
              </w:rPr>
            </w:pPr>
            <w:r>
              <w:rPr>
                <w:b w:val="false"/>
                <w:highlight w:val="lightGray"/>
              </w:rPr>
              <w:t>сдачи-приемки места производства Работ</w:t>
            </w:r>
            <w:r>
              <w:rPr>
                <w:highlight w:val="lightGray"/>
              </w:rPr>
              <w:t xml:space="preserve"> </w:t>
            </w:r>
            <w:r>
              <w:rPr>
                <w:b w:val="false"/>
                <w:highlight w:val="lightGray"/>
              </w:rPr>
              <w:t>и / или места (помещения) для складирования Материально-технических ресурсов и оборудования</w:t>
            </w:r>
          </w:p>
          <w:p>
            <w:pPr>
              <w:pStyle w:val="Normal"/>
              <w:widowControl w:val="false"/>
              <w:rPr>
                <w:sz w:val="22"/>
                <w:highlight w:val="lightGray"/>
              </w:rPr>
            </w:pPr>
            <w:r>
              <w:rPr>
                <w:sz w:val="22"/>
                <w:highlight w:val="lightGray"/>
              </w:rPr>
            </w:r>
          </w:p>
          <w:p>
            <w:pPr>
              <w:pStyle w:val="Normal"/>
              <w:widowControl w:val="false"/>
              <w:ind w:hanging="0"/>
              <w:rPr>
                <w:sz w:val="22"/>
                <w:szCs w:val="22"/>
                <w:highlight w:val="lightGray"/>
              </w:rPr>
            </w:pPr>
            <w:r>
              <w:rPr>
                <w:sz w:val="22"/>
                <w:szCs w:val="22"/>
                <w:highlight w:val="lightGray"/>
              </w:rPr>
              <w:t>г.___________                                                                                              «_____» _________201_г.</w:t>
            </w:r>
          </w:p>
          <w:p>
            <w:pPr>
              <w:pStyle w:val="Normal"/>
              <w:widowControl w:val="false"/>
              <w:rPr>
                <w:sz w:val="22"/>
                <w:szCs w:val="22"/>
                <w:highlight w:val="lightGray"/>
              </w:rPr>
            </w:pPr>
            <w:r>
              <w:rPr>
                <w:sz w:val="22"/>
                <w:szCs w:val="22"/>
                <w:highlight w:val="lightGray"/>
              </w:rPr>
            </w:r>
          </w:p>
          <w:p>
            <w:pPr>
              <w:pStyle w:val="Normal"/>
              <w:widowControl w:val="false"/>
              <w:spacing w:lineRule="auto" w:line="240"/>
              <w:ind w:hanging="0"/>
              <w:rPr>
                <w:sz w:val="22"/>
                <w:szCs w:val="22"/>
                <w:highlight w:val="lightGray"/>
              </w:rPr>
            </w:pPr>
            <w:r>
              <w:rPr>
                <w:sz w:val="22"/>
                <w:szCs w:val="22"/>
                <w:highlight w:val="lightGray"/>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2"/>
                <w:szCs w:val="22"/>
                <w:highlight w:val="lightGray"/>
              </w:rPr>
            </w:pPr>
            <w:r>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2"/>
                <w:szCs w:val="22"/>
                <w:highlight w:val="lightGray"/>
              </w:rPr>
            </w:pPr>
            <w:r>
              <w:rPr>
                <w:sz w:val="22"/>
                <w:szCs w:val="22"/>
                <w:highlight w:val="lightGray"/>
              </w:rPr>
              <w:t>Заказчик передал Подрядчику, а Подрядчик принял</w:t>
            </w:r>
            <w:r>
              <w:rPr>
                <w:bCs/>
                <w:sz w:val="22"/>
                <w:szCs w:val="22"/>
                <w:highlight w:val="lightGray"/>
              </w:rPr>
              <w:t xml:space="preserve"> место производства Работ _____________________________ (указываются идентифицирующие признаки) и / или </w:t>
            </w:r>
            <w:r>
              <w:rPr>
                <w:sz w:val="22"/>
                <w:szCs w:val="22"/>
                <w:highlight w:val="lightGray"/>
              </w:rPr>
              <w:t xml:space="preserve">место (помещение) для складирования </w:t>
            </w:r>
            <w:r>
              <w:rPr>
                <w:bCs/>
                <w:sz w:val="22"/>
                <w:szCs w:val="22"/>
                <w:highlight w:val="lightGray"/>
              </w:rPr>
              <w:t>Материально-технических ресурсов и оборудования</w:t>
            </w:r>
            <w:r>
              <w:rPr>
                <w:sz w:val="22"/>
                <w:szCs w:val="22"/>
                <w:highlight w:val="lightGray"/>
              </w:rPr>
              <w:t xml:space="preserve"> _____________________________ </w:t>
            </w:r>
            <w:r>
              <w:rPr>
                <w:bCs/>
                <w:sz w:val="22"/>
                <w:szCs w:val="22"/>
                <w:highlight w:val="lightGray"/>
              </w:rPr>
              <w:t xml:space="preserve">(указываются идентифицирующие признаки) </w:t>
            </w:r>
            <w:r>
              <w:rPr>
                <w:sz w:val="22"/>
                <w:szCs w:val="22"/>
                <w:highlight w:val="lightGray"/>
              </w:rPr>
              <w:t>по Договору по</w:t>
            </w:r>
            <w:r>
              <w:rPr>
                <w:bCs/>
                <w:sz w:val="22"/>
                <w:szCs w:val="22"/>
                <w:highlight w:val="lightGray"/>
              </w:rPr>
              <w:t>дряда №______ от _____________.</w:t>
            </w:r>
          </w:p>
          <w:p>
            <w:pPr>
              <w:pStyle w:val="Normal"/>
              <w:widowControl w:val="false"/>
              <w:spacing w:lineRule="auto" w:line="240"/>
              <w:ind w:hanging="0"/>
              <w:rPr>
                <w:bCs/>
                <w:sz w:val="22"/>
                <w:szCs w:val="22"/>
                <w:highlight w:val="lightGray"/>
              </w:rPr>
            </w:pPr>
            <w:r>
              <w:rPr>
                <w:bCs/>
                <w:sz w:val="22"/>
                <w:szCs w:val="22"/>
                <w:highlight w:val="lightGray"/>
              </w:rPr>
              <w:t xml:space="preserve">Место для производства Работ и </w:t>
            </w:r>
            <w:r>
              <w:rPr>
                <w:sz w:val="22"/>
                <w:szCs w:val="22"/>
                <w:highlight w:val="lightGray"/>
              </w:rPr>
              <w:t xml:space="preserve">место (помещение) для складирования </w:t>
            </w:r>
            <w:r>
              <w:rPr>
                <w:bCs/>
                <w:sz w:val="22"/>
                <w:szCs w:val="22"/>
                <w:highlight w:val="lightGray"/>
              </w:rPr>
              <w:t xml:space="preserve">Материально-технических ресурсов и оборудования переданы / передано </w:t>
            </w:r>
            <w:r>
              <w:rPr>
                <w:sz w:val="22"/>
                <w:szCs w:val="22"/>
                <w:highlight w:val="lightGray"/>
              </w:rPr>
              <w:t>Подрядчику</w:t>
            </w:r>
            <w:r>
              <w:rPr>
                <w:bCs/>
                <w:sz w:val="22"/>
                <w:szCs w:val="22"/>
                <w:highlight w:val="lightGray"/>
              </w:rPr>
              <w:t xml:space="preserve"> в установленный Договором срок. </w:t>
            </w:r>
          </w:p>
          <w:p>
            <w:pPr>
              <w:pStyle w:val="Normal"/>
              <w:widowControl w:val="false"/>
              <w:spacing w:lineRule="auto" w:line="240"/>
              <w:ind w:hanging="0"/>
              <w:rPr>
                <w:bCs/>
                <w:sz w:val="22"/>
                <w:szCs w:val="22"/>
                <w:highlight w:val="lightGray"/>
              </w:rPr>
            </w:pPr>
            <w:r>
              <w:rPr>
                <w:bCs/>
                <w:sz w:val="22"/>
                <w:szCs w:val="22"/>
                <w:highlight w:val="lightGray"/>
              </w:rPr>
              <w:t xml:space="preserve">Претензии </w:t>
            </w:r>
            <w:r>
              <w:rPr>
                <w:sz w:val="22"/>
                <w:szCs w:val="22"/>
                <w:highlight w:val="lightGray"/>
              </w:rPr>
              <w:t>Подрядчика</w:t>
            </w:r>
            <w:r>
              <w:rPr>
                <w:bCs/>
                <w:sz w:val="22"/>
                <w:szCs w:val="22"/>
                <w:highlight w:val="lightGray"/>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hanging="0"/>
              <w:rPr>
                <w:sz w:val="22"/>
                <w:highlight w:val="lightGray"/>
              </w:rPr>
            </w:pPr>
            <w:r>
              <w:rPr>
                <w:i/>
                <w:sz w:val="22"/>
                <w:highlight w:val="lightGray"/>
              </w:rPr>
              <w:t>(указать конкретные претензии или указать «не имеются»)</w:t>
            </w:r>
            <w:r>
              <w:rPr>
                <w:sz w:val="22"/>
                <w:highlight w:val="lightGray"/>
              </w:rPr>
              <w:t>.</w:t>
            </w:r>
          </w:p>
          <w:p>
            <w:pPr>
              <w:pStyle w:val="Normal"/>
              <w:widowControl w:val="false"/>
              <w:spacing w:lineRule="auto" w:line="240"/>
              <w:ind w:hanging="0"/>
              <w:rPr>
                <w:bCs/>
                <w:sz w:val="22"/>
                <w:szCs w:val="22"/>
                <w:highlight w:val="lightGray"/>
              </w:rPr>
            </w:pPr>
            <w:r>
              <w:rPr>
                <w:bCs/>
                <w:sz w:val="22"/>
                <w:szCs w:val="22"/>
                <w:highlight w:val="lightGray"/>
              </w:rPr>
              <w:t xml:space="preserve">Претензии </w:t>
            </w:r>
            <w:r>
              <w:rPr>
                <w:sz w:val="22"/>
                <w:szCs w:val="22"/>
                <w:highlight w:val="lightGray"/>
              </w:rPr>
              <w:t>Подрядчика</w:t>
            </w:r>
            <w:r>
              <w:rPr>
                <w:bCs/>
                <w:sz w:val="22"/>
                <w:szCs w:val="22"/>
                <w:highlight w:val="lightGray"/>
              </w:rPr>
              <w:t xml:space="preserve"> (замечания и недостатки) к месту</w:t>
            </w:r>
            <w:r>
              <w:rPr>
                <w:sz w:val="22"/>
                <w:szCs w:val="22"/>
                <w:highlight w:val="lightGray"/>
              </w:rPr>
              <w:t xml:space="preserve"> складирования </w:t>
            </w:r>
            <w:r>
              <w:rPr>
                <w:bCs/>
                <w:sz w:val="22"/>
                <w:szCs w:val="22"/>
                <w:highlight w:val="lightGray"/>
              </w:rPr>
              <w:t>Материально-технических ресурсов и оборудования: _____________________________________</w:t>
            </w:r>
          </w:p>
          <w:p>
            <w:pPr>
              <w:pStyle w:val="Normal"/>
              <w:widowControl w:val="false"/>
              <w:spacing w:lineRule="auto" w:line="240"/>
              <w:ind w:hanging="0"/>
              <w:rPr>
                <w:sz w:val="22"/>
                <w:szCs w:val="22"/>
                <w:highlight w:val="lightGray"/>
              </w:rPr>
            </w:pPr>
            <w:r>
              <w:rPr>
                <w:sz w:val="22"/>
                <w:szCs w:val="22"/>
                <w:highlight w:val="lightGray"/>
              </w:rPr>
              <w:t xml:space="preserve"> </w:t>
            </w:r>
            <w:r>
              <w:rPr>
                <w:sz w:val="22"/>
                <w:szCs w:val="22"/>
                <w:highlight w:val="lightGray"/>
              </w:rPr>
              <w:t>(</w:t>
            </w:r>
            <w:r>
              <w:rPr>
                <w:i/>
                <w:sz w:val="22"/>
                <w:highlight w:val="lightGray"/>
              </w:rPr>
              <w:t>указать конкретные претензии или указать «не имеются»)</w:t>
            </w:r>
            <w:r>
              <w:rPr>
                <w:sz w:val="22"/>
                <w:highlight w:val="lightGray"/>
              </w:rPr>
              <w:t>.</w:t>
            </w:r>
          </w:p>
          <w:p>
            <w:pPr>
              <w:pStyle w:val="Normal"/>
              <w:widowControl w:val="false"/>
              <w:rPr>
                <w:sz w:val="22"/>
                <w:szCs w:val="22"/>
                <w:highlight w:val="lightGray"/>
              </w:rPr>
            </w:pPr>
            <w:r>
              <w:rPr>
                <w:sz w:val="22"/>
                <w:szCs w:val="22"/>
                <w:highlight w:val="lightGray"/>
              </w:rPr>
            </w:r>
          </w:p>
          <w:tbl>
            <w:tblPr>
              <w:tblW w:w="9276"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638"/>
              <w:gridCol w:w="4637"/>
            </w:tblGrid>
            <w:tr>
              <w:trPr/>
              <w:tc>
                <w:tcPr>
                  <w:tcW w:w="4638" w:type="dxa"/>
                  <w:tcBorders/>
                </w:tcPr>
                <w:p>
                  <w:pPr>
                    <w:pStyle w:val="Normal"/>
                    <w:widowControl w:val="false"/>
                    <w:spacing w:lineRule="auto" w:line="240"/>
                    <w:ind w:hanging="0"/>
                    <w:rPr>
                      <w:sz w:val="22"/>
                      <w:highlight w:val="lightGray"/>
                    </w:rPr>
                  </w:pPr>
                  <w:r>
                    <w:rPr>
                      <w:sz w:val="22"/>
                      <w:highlight w:val="lightGray"/>
                    </w:rPr>
                    <w:t>Заказчик:</w:t>
                  </w:r>
                </w:p>
              </w:tc>
              <w:tc>
                <w:tcPr>
                  <w:tcW w:w="4637" w:type="dxa"/>
                  <w:tcBorders/>
                </w:tcPr>
                <w:p>
                  <w:pPr>
                    <w:pStyle w:val="Normal"/>
                    <w:widowControl w:val="false"/>
                    <w:spacing w:lineRule="auto" w:line="240"/>
                    <w:ind w:hanging="0"/>
                    <w:rPr>
                      <w:sz w:val="22"/>
                      <w:highlight w:val="lightGray"/>
                    </w:rPr>
                  </w:pPr>
                  <w:r>
                    <w:rPr>
                      <w:sz w:val="22"/>
                      <w:highlight w:val="lightGray"/>
                    </w:rPr>
                    <w:t>Подрядчик:</w:t>
                  </w:r>
                </w:p>
              </w:tc>
            </w:tr>
            <w:tr>
              <w:trPr/>
              <w:tc>
                <w:tcPr>
                  <w:tcW w:w="4638" w:type="dxa"/>
                  <w:tcBorders/>
                  <w:shd w:color="auto" w:fill="auto" w:val="clear"/>
                </w:tcPr>
                <w:p>
                  <w:pPr>
                    <w:pStyle w:val="Normal"/>
                    <w:widowControl w:val="false"/>
                    <w:spacing w:lineRule="auto" w:line="240"/>
                    <w:ind w:hanging="0"/>
                    <w:rPr>
                      <w:sz w:val="22"/>
                      <w:szCs w:val="22"/>
                      <w:highlight w:val="lightGray"/>
                    </w:rPr>
                  </w:pPr>
                  <w:r>
                    <w:rPr>
                      <w:sz w:val="22"/>
                      <w:szCs w:val="22"/>
                      <w:highlight w:val="lightGray"/>
                    </w:rPr>
                  </w:r>
                </w:p>
                <w:p>
                  <w:pPr>
                    <w:pStyle w:val="Normal"/>
                    <w:widowControl w:val="false"/>
                    <w:spacing w:lineRule="auto" w:line="240"/>
                    <w:ind w:hanging="0"/>
                    <w:rPr>
                      <w:sz w:val="22"/>
                      <w:szCs w:val="22"/>
                      <w:highlight w:val="lightGray"/>
                    </w:rPr>
                  </w:pPr>
                  <w:r>
                    <w:rPr>
                      <w:sz w:val="22"/>
                      <w:szCs w:val="22"/>
                      <w:highlight w:val="lightGray"/>
                    </w:rPr>
                  </w:r>
                </w:p>
                <w:p>
                  <w:pPr>
                    <w:pStyle w:val="Normal"/>
                    <w:widowControl w:val="false"/>
                    <w:spacing w:lineRule="auto" w:line="240"/>
                    <w:ind w:hanging="0"/>
                    <w:rPr>
                      <w:sz w:val="22"/>
                      <w:szCs w:val="22"/>
                      <w:highlight w:val="lightGray"/>
                    </w:rPr>
                  </w:pPr>
                  <w:r>
                    <w:rPr>
                      <w:sz w:val="22"/>
                      <w:szCs w:val="22"/>
                      <w:highlight w:val="lightGray"/>
                    </w:rPr>
                    <w:t xml:space="preserve">_______________ / _______________ </w:t>
                  </w:r>
                </w:p>
                <w:p>
                  <w:pPr>
                    <w:pStyle w:val="Normal"/>
                    <w:widowControl w:val="false"/>
                    <w:spacing w:lineRule="auto" w:line="240"/>
                    <w:ind w:hanging="0"/>
                    <w:rPr>
                      <w:sz w:val="22"/>
                      <w:szCs w:val="22"/>
                      <w:highlight w:val="lightGray"/>
                    </w:rPr>
                  </w:pPr>
                  <w:r>
                    <w:rPr>
                      <w:sz w:val="22"/>
                      <w:szCs w:val="22"/>
                      <w:highlight w:val="lightGray"/>
                    </w:rPr>
                  </w:r>
                </w:p>
              </w:tc>
              <w:tc>
                <w:tcPr>
                  <w:tcW w:w="4637" w:type="dxa"/>
                  <w:tcBorders/>
                  <w:shd w:color="auto" w:fill="auto" w:val="clear"/>
                </w:tcPr>
                <w:p>
                  <w:pPr>
                    <w:pStyle w:val="Normal"/>
                    <w:widowControl w:val="false"/>
                    <w:spacing w:lineRule="auto" w:line="240"/>
                    <w:ind w:hanging="0"/>
                    <w:rPr>
                      <w:sz w:val="22"/>
                      <w:szCs w:val="22"/>
                      <w:highlight w:val="lightGray"/>
                    </w:rPr>
                  </w:pPr>
                  <w:r>
                    <w:rPr>
                      <w:sz w:val="22"/>
                      <w:szCs w:val="22"/>
                      <w:highlight w:val="lightGray"/>
                    </w:rPr>
                  </w:r>
                </w:p>
                <w:p>
                  <w:pPr>
                    <w:pStyle w:val="Normal"/>
                    <w:widowControl w:val="false"/>
                    <w:spacing w:lineRule="auto" w:line="240"/>
                    <w:ind w:hanging="0"/>
                    <w:rPr>
                      <w:sz w:val="22"/>
                      <w:szCs w:val="22"/>
                      <w:highlight w:val="lightGray"/>
                    </w:rPr>
                  </w:pPr>
                  <w:r>
                    <w:rPr>
                      <w:sz w:val="22"/>
                      <w:szCs w:val="22"/>
                      <w:highlight w:val="lightGray"/>
                    </w:rPr>
                  </w:r>
                </w:p>
                <w:p>
                  <w:pPr>
                    <w:pStyle w:val="Normal"/>
                    <w:widowControl w:val="false"/>
                    <w:spacing w:lineRule="auto" w:line="240"/>
                    <w:ind w:hanging="0"/>
                    <w:rPr>
                      <w:sz w:val="22"/>
                      <w:szCs w:val="22"/>
                      <w:highlight w:val="lightGray"/>
                    </w:rPr>
                  </w:pPr>
                  <w:r>
                    <w:rPr>
                      <w:sz w:val="22"/>
                      <w:szCs w:val="22"/>
                      <w:highlight w:val="lightGray"/>
                    </w:rPr>
                    <w:t xml:space="preserve">_______________ / _______________ </w:t>
                  </w:r>
                </w:p>
                <w:p>
                  <w:pPr>
                    <w:pStyle w:val="Normal"/>
                    <w:widowControl w:val="false"/>
                    <w:spacing w:lineRule="auto" w:line="240"/>
                    <w:ind w:hanging="0"/>
                    <w:rPr>
                      <w:sz w:val="22"/>
                      <w:szCs w:val="22"/>
                      <w:highlight w:val="lightGray"/>
                    </w:rPr>
                  </w:pPr>
                  <w:r>
                    <w:rPr>
                      <w:sz w:val="22"/>
                      <w:szCs w:val="22"/>
                      <w:highlight w:val="lightGray"/>
                    </w:rPr>
                  </w:r>
                </w:p>
              </w:tc>
            </w:tr>
          </w:tbl>
          <w:p>
            <w:pPr>
              <w:pStyle w:val="13"/>
              <w:widowControl w:val="false"/>
              <w:spacing w:before="0" w:after="120"/>
              <w:jc w:val="left"/>
              <w:rPr>
                <w:i/>
                <w:i/>
                <w:iCs/>
                <w:highlight w:val="lightGray"/>
              </w:rPr>
            </w:pPr>
            <w:r>
              <w:rPr>
                <w:i/>
                <w:iCs/>
                <w:highlight w:val="lightGray"/>
              </w:rPr>
            </w:r>
          </w:p>
        </w:tc>
      </w:tr>
    </w:tbl>
    <w:p>
      <w:pPr>
        <w:pStyle w:val="13"/>
        <w:jc w:val="left"/>
        <w:rPr>
          <w:i/>
          <w:i/>
          <w:iCs/>
          <w:highlight w:val="lightGray"/>
        </w:rPr>
      </w:pPr>
      <w:r>
        <w:rPr>
          <w:i/>
          <w:iCs/>
          <w:highlight w:val="lightGray"/>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highlight w:val="lightGray"/>
              </w:rPr>
            </w:pPr>
            <w:r>
              <w:rPr>
                <w:b/>
                <w:sz w:val="24"/>
                <w:highlight w:val="lightGray"/>
              </w:rPr>
              <w:t>Заказчик:</w:t>
            </w:r>
          </w:p>
        </w:tc>
        <w:tc>
          <w:tcPr>
            <w:tcW w:w="4785" w:type="dxa"/>
            <w:tcBorders/>
          </w:tcPr>
          <w:p>
            <w:pPr>
              <w:pStyle w:val="Normal"/>
              <w:widowControl w:val="false"/>
              <w:spacing w:lineRule="auto" w:line="240"/>
              <w:ind w:hanging="0"/>
              <w:rPr>
                <w:b/>
                <w:sz w:val="24"/>
                <w:highlight w:val="lightGray"/>
              </w:rPr>
            </w:pPr>
            <w:r>
              <w:rPr>
                <w:b/>
                <w:sz w:val="24"/>
                <w:highlight w:val="lightGray"/>
              </w:rPr>
              <w:t>Подрядчик:</w:t>
            </w:r>
          </w:p>
        </w:tc>
      </w:tr>
      <w:tr>
        <w:trPr/>
        <w:tc>
          <w:tcPr>
            <w:tcW w:w="4785" w:type="dxa"/>
            <w:tcBorders/>
          </w:tcPr>
          <w:p>
            <w:pPr>
              <w:pStyle w:val="Normal"/>
              <w:widowControl w:val="false"/>
              <w:spacing w:lineRule="auto" w:line="240"/>
              <w:ind w:hanging="0"/>
              <w:rPr>
                <w:sz w:val="22"/>
                <w:szCs w:val="22"/>
                <w:highlight w:val="lightGray"/>
              </w:rPr>
            </w:pPr>
            <w:r>
              <w:rPr>
                <w:sz w:val="22"/>
                <w:szCs w:val="22"/>
                <w:highlight w:val="lightGray"/>
              </w:rPr>
            </w:r>
          </w:p>
          <w:p>
            <w:pPr>
              <w:pStyle w:val="Normal"/>
              <w:widowControl w:val="false"/>
              <w:spacing w:lineRule="auto" w:line="240"/>
              <w:ind w:hanging="0"/>
              <w:rPr>
                <w:sz w:val="22"/>
                <w:szCs w:val="22"/>
                <w:highlight w:val="lightGray"/>
              </w:rPr>
            </w:pPr>
            <w:r>
              <w:rPr>
                <w:sz w:val="22"/>
                <w:szCs w:val="22"/>
                <w:highlight w:val="lightGray"/>
              </w:rPr>
            </w:r>
          </w:p>
          <w:p>
            <w:pPr>
              <w:pStyle w:val="Normal"/>
              <w:widowControl w:val="false"/>
              <w:spacing w:lineRule="auto" w:line="240"/>
              <w:ind w:hanging="0"/>
              <w:rPr>
                <w:sz w:val="22"/>
                <w:szCs w:val="22"/>
                <w:highlight w:val="lightGray"/>
              </w:rPr>
            </w:pPr>
            <w:r>
              <w:rPr>
                <w:sz w:val="22"/>
                <w:szCs w:val="22"/>
                <w:highlight w:val="lightGray"/>
              </w:rPr>
              <w:t xml:space="preserve">_______________ / _______________ </w:t>
            </w:r>
          </w:p>
          <w:p>
            <w:pPr>
              <w:pStyle w:val="Normal"/>
              <w:widowControl w:val="false"/>
              <w:spacing w:lineRule="auto" w:line="240"/>
              <w:ind w:hanging="0"/>
              <w:rPr>
                <w:sz w:val="22"/>
                <w:szCs w:val="22"/>
                <w:highlight w:val="lightGray"/>
              </w:rPr>
            </w:pPr>
            <w:r>
              <w:rPr>
                <w:sz w:val="22"/>
                <w:szCs w:val="22"/>
                <w:highlight w:val="lightGray"/>
              </w:rPr>
            </w:r>
          </w:p>
        </w:tc>
        <w:tc>
          <w:tcPr>
            <w:tcW w:w="4785" w:type="dxa"/>
            <w:tcBorders/>
          </w:tcPr>
          <w:p>
            <w:pPr>
              <w:pStyle w:val="Normal"/>
              <w:widowControl w:val="false"/>
              <w:spacing w:lineRule="auto" w:line="240"/>
              <w:ind w:hanging="0"/>
              <w:rPr>
                <w:sz w:val="22"/>
                <w:szCs w:val="22"/>
                <w:highlight w:val="lightGray"/>
              </w:rPr>
            </w:pPr>
            <w:r>
              <w:rPr>
                <w:sz w:val="22"/>
                <w:szCs w:val="22"/>
                <w:highlight w:val="lightGray"/>
              </w:rPr>
            </w:r>
          </w:p>
          <w:p>
            <w:pPr>
              <w:pStyle w:val="Normal"/>
              <w:widowControl w:val="false"/>
              <w:spacing w:lineRule="auto" w:line="240"/>
              <w:ind w:hanging="0"/>
              <w:rPr>
                <w:sz w:val="22"/>
                <w:szCs w:val="22"/>
                <w:highlight w:val="lightGray"/>
              </w:rPr>
            </w:pPr>
            <w:r>
              <w:rPr>
                <w:sz w:val="22"/>
                <w:szCs w:val="22"/>
                <w:highlight w:val="lightGray"/>
              </w:rPr>
            </w:r>
          </w:p>
          <w:p>
            <w:pPr>
              <w:pStyle w:val="Normal"/>
              <w:widowControl w:val="false"/>
              <w:spacing w:lineRule="auto" w:line="240"/>
              <w:ind w:hanging="0"/>
              <w:rPr>
                <w:sz w:val="22"/>
                <w:szCs w:val="22"/>
              </w:rPr>
            </w:pPr>
            <w:r>
              <w:rPr>
                <w:sz w:val="22"/>
                <w:szCs w:val="22"/>
                <w:highlight w:val="lightGray"/>
              </w:rPr>
              <w:t>_______________ / _______________</w:t>
            </w:r>
            <w:r>
              <w:rPr>
                <w:sz w:val="22"/>
                <w:szCs w:val="22"/>
              </w:rPr>
              <w:t xml:space="preserve">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708" w:firstLine="708"/>
        <w:jc w:val="right"/>
        <w:rPr>
          <w:sz w:val="22"/>
          <w:szCs w:val="22"/>
        </w:rPr>
      </w:pPr>
      <w:r>
        <w:rPr>
          <w:sz w:val="22"/>
          <w:szCs w:val="22"/>
        </w:rPr>
      </w:r>
    </w:p>
    <w:p>
      <w:pPr>
        <w:pStyle w:val="Normal"/>
        <w:spacing w:lineRule="auto" w:line="240"/>
        <w:ind w:left="708" w:firstLine="708"/>
        <w:jc w:val="right"/>
        <w:rPr>
          <w:sz w:val="22"/>
          <w:szCs w:val="22"/>
        </w:rPr>
      </w:pPr>
      <w:r>
        <w:rPr>
          <w:sz w:val="22"/>
          <w:szCs w:val="22"/>
        </w:rPr>
      </w:r>
    </w:p>
    <w:p>
      <w:pPr>
        <w:pStyle w:val="Normal"/>
        <w:spacing w:lineRule="auto" w:line="240"/>
        <w:ind w:left="708" w:firstLine="708"/>
        <w:jc w:val="right"/>
        <w:rPr>
          <w:sz w:val="22"/>
          <w:szCs w:val="22"/>
        </w:rPr>
      </w:pPr>
      <w:r>
        <w:rPr>
          <w:sz w:val="22"/>
          <w:szCs w:val="22"/>
        </w:rPr>
      </w:r>
    </w:p>
    <w:p>
      <w:pPr>
        <w:pStyle w:val="Normal"/>
        <w:spacing w:lineRule="auto" w:line="240"/>
        <w:ind w:left="708" w:firstLine="708"/>
        <w:jc w:val="right"/>
        <w:rPr>
          <w:sz w:val="22"/>
          <w:szCs w:val="22"/>
        </w:rPr>
      </w:pPr>
      <w:r>
        <w:rPr>
          <w:sz w:val="22"/>
          <w:szCs w:val="22"/>
        </w:rPr>
      </w:r>
    </w:p>
    <w:p>
      <w:pPr>
        <w:pStyle w:val="Normal"/>
        <w:spacing w:lineRule="auto" w:line="240"/>
        <w:ind w:left="708" w:firstLine="708"/>
        <w:jc w:val="right"/>
        <w:rPr>
          <w:sz w:val="22"/>
          <w:szCs w:val="22"/>
        </w:rPr>
      </w:pPr>
      <w:r>
        <w:rPr>
          <w:sz w:val="22"/>
          <w:szCs w:val="22"/>
        </w:rPr>
      </w:r>
    </w:p>
    <w:p>
      <w:pPr>
        <w:pStyle w:val="Normal"/>
        <w:spacing w:lineRule="auto" w:line="240"/>
        <w:ind w:left="708" w:firstLine="708"/>
        <w:jc w:val="right"/>
        <w:rPr>
          <w:sz w:val="22"/>
          <w:szCs w:val="22"/>
        </w:rPr>
      </w:pPr>
      <w:r>
        <w:rPr>
          <w:sz w:val="22"/>
          <w:szCs w:val="22"/>
        </w:rPr>
      </w:r>
    </w:p>
    <w:p>
      <w:pPr>
        <w:pStyle w:val="Normal"/>
        <w:spacing w:lineRule="auto" w:line="240"/>
        <w:ind w:left="708" w:firstLine="708"/>
        <w:jc w:val="right"/>
        <w:rPr>
          <w:sz w:val="22"/>
          <w:szCs w:val="22"/>
        </w:rPr>
      </w:pPr>
      <w:r>
        <w:rPr>
          <w:sz w:val="22"/>
          <w:szCs w:val="22"/>
        </w:rPr>
      </w:r>
    </w:p>
    <w:p>
      <w:pPr>
        <w:pStyle w:val="Normal"/>
        <w:spacing w:lineRule="auto" w:line="240"/>
        <w:ind w:left="708" w:firstLine="708"/>
        <w:jc w:val="right"/>
        <w:rPr>
          <w:sz w:val="22"/>
          <w:szCs w:val="22"/>
        </w:rPr>
      </w:pPr>
      <w:r>
        <w:rPr>
          <w:sz w:val="22"/>
          <w:szCs w:val="22"/>
        </w:rPr>
      </w:r>
    </w:p>
    <w:p>
      <w:pPr>
        <w:pStyle w:val="Normal"/>
        <w:spacing w:lineRule="auto" w:line="240"/>
        <w:ind w:left="708" w:firstLine="708"/>
        <w:jc w:val="right"/>
        <w:rPr>
          <w:sz w:val="22"/>
          <w:szCs w:val="22"/>
        </w:rPr>
      </w:pPr>
      <w:r>
        <w:rPr>
          <w:sz w:val="22"/>
          <w:szCs w:val="22"/>
        </w:rPr>
      </w:r>
    </w:p>
    <w:p>
      <w:pPr>
        <w:pStyle w:val="Normal"/>
        <w:spacing w:lineRule="auto" w:line="240"/>
        <w:ind w:left="708" w:firstLine="708"/>
        <w:jc w:val="right"/>
        <w:rPr>
          <w:sz w:val="22"/>
          <w:szCs w:val="22"/>
        </w:rPr>
      </w:pPr>
      <w:r>
        <w:rPr>
          <w:sz w:val="22"/>
          <w:szCs w:val="22"/>
        </w:rPr>
      </w:r>
    </w:p>
    <w:p>
      <w:pPr>
        <w:pStyle w:val="Normal"/>
        <w:spacing w:lineRule="auto" w:line="240"/>
        <w:ind w:left="5103" w:hanging="0"/>
        <w:jc w:val="left"/>
        <w:rPr>
          <w:sz w:val="22"/>
          <w:szCs w:val="22"/>
        </w:rPr>
      </w:pPr>
      <w:r>
        <w:rPr>
          <w:sz w:val="22"/>
          <w:szCs w:val="22"/>
        </w:rPr>
        <w:t>Приложение № 4.2</w:t>
      </w:r>
    </w:p>
    <w:p>
      <w:pPr>
        <w:pStyle w:val="Normal"/>
        <w:spacing w:lineRule="auto" w:line="240"/>
        <w:ind w:left="5103" w:hanging="0"/>
        <w:jc w:val="left"/>
        <w:rPr>
          <w:sz w:val="22"/>
          <w:szCs w:val="22"/>
        </w:rPr>
      </w:pPr>
      <w:r>
        <w:rPr>
          <w:sz w:val="22"/>
          <w:szCs w:val="22"/>
        </w:rPr>
        <w:t>к Договору подряда</w:t>
      </w:r>
    </w:p>
    <w:p>
      <w:pPr>
        <w:pStyle w:val="Normal"/>
        <w:spacing w:lineRule="auto" w:line="240"/>
        <w:ind w:left="5103" w:hanging="0"/>
        <w:jc w:val="left"/>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13"/>
        <w:rPr>
          <w:b w:val="false"/>
          <w:sz w:val="24"/>
        </w:rPr>
      </w:pPr>
      <w:r>
        <w:rPr>
          <w:sz w:val="24"/>
        </w:rPr>
        <w:t>ФОРМА</w:t>
      </w:r>
    </w:p>
    <w:p>
      <w:pPr>
        <w:pStyle w:val="13"/>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50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9637"/>
      </w:tblGrid>
      <w:tr>
        <w:trPr/>
        <w:tc>
          <w:tcPr>
            <w:tcW w:w="9637" w:type="dxa"/>
            <w:tcBorders>
              <w:top w:val="single" w:sz="4" w:space="0" w:color="000000"/>
              <w:left w:val="single" w:sz="4" w:space="0" w:color="000000"/>
              <w:bottom w:val="single" w:sz="4" w:space="0" w:color="000000"/>
              <w:right w:val="single" w:sz="4" w:space="0" w:color="000000"/>
            </w:tcBorders>
            <w:shd w:color="auto" w:fill="auto" w:val="clear"/>
          </w:tcPr>
          <w:p>
            <w:pPr>
              <w:pStyle w:val="13"/>
              <w:widowControl w:val="false"/>
              <w:rPr>
                <w:b w:val="false"/>
              </w:rPr>
            </w:pPr>
            <w:r>
              <w:rPr>
                <w:b w:val="false"/>
              </w:rPr>
              <w:t xml:space="preserve">Акт </w:t>
            </w:r>
          </w:p>
          <w:p>
            <w:pPr>
              <w:pStyle w:val="13"/>
              <w:widowControl w:val="false"/>
              <w:rPr>
                <w:i/>
                <w:i/>
                <w:iCs/>
              </w:rPr>
            </w:pPr>
            <w:r>
              <w:rPr>
                <w:b w:val="false"/>
              </w:rPr>
              <w:t>сдачи-приемки технической и иной документации</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№______ от _____________:</w:t>
            </w:r>
          </w:p>
          <w:p>
            <w:pPr>
              <w:pStyle w:val="Normal"/>
              <w:widowControl w:val="false"/>
              <w:ind w:hanging="0"/>
              <w:rPr>
                <w:bCs/>
                <w:sz w:val="22"/>
                <w:szCs w:val="22"/>
              </w:rPr>
            </w:pPr>
            <w:r>
              <w:rPr>
                <w:bCs/>
                <w:sz w:val="22"/>
                <w:szCs w:val="22"/>
              </w:rPr>
              <w:t xml:space="preserve">__________________________________________________________________________ </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rPr>
            </w:pPr>
            <w:r>
              <w:rPr>
                <w:sz w:val="20"/>
                <w:szCs w:val="20"/>
              </w:rPr>
            </w:r>
          </w:p>
          <w:p>
            <w:pPr>
              <w:pStyle w:val="Normal"/>
              <w:widowControl w:val="false"/>
              <w:rPr>
                <w:sz w:val="22"/>
                <w:szCs w:val="22"/>
              </w:rPr>
            </w:pPr>
            <w:r>
              <w:rPr>
                <w:sz w:val="22"/>
                <w:szCs w:val="22"/>
              </w:rPr>
            </w:r>
          </w:p>
          <w:tbl>
            <w:tblPr>
              <w:tblW w:w="941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05"/>
              <w:gridCol w:w="4705"/>
            </w:tblGrid>
            <w:tr>
              <w:trPr/>
              <w:tc>
                <w:tcPr>
                  <w:tcW w:w="4705" w:type="dxa"/>
                  <w:tcBorders/>
                </w:tcPr>
                <w:p>
                  <w:pPr>
                    <w:pStyle w:val="Normal"/>
                    <w:widowControl w:val="false"/>
                    <w:spacing w:lineRule="auto" w:line="240"/>
                    <w:ind w:hanging="0"/>
                    <w:rPr>
                      <w:bCs/>
                      <w:sz w:val="24"/>
                      <w:szCs w:val="24"/>
                    </w:rPr>
                  </w:pPr>
                  <w:r>
                    <w:rPr>
                      <w:bCs/>
                      <w:sz w:val="24"/>
                      <w:szCs w:val="24"/>
                    </w:rPr>
                    <w:t>Заказчик:</w:t>
                  </w:r>
                </w:p>
              </w:tc>
              <w:tc>
                <w:tcPr>
                  <w:tcW w:w="4705" w:type="dxa"/>
                  <w:tcBorders/>
                </w:tcPr>
                <w:p>
                  <w:pPr>
                    <w:pStyle w:val="Normal"/>
                    <w:widowControl w:val="false"/>
                    <w:spacing w:lineRule="auto" w:line="240"/>
                    <w:ind w:hanging="0"/>
                    <w:rPr>
                      <w:bCs/>
                      <w:sz w:val="24"/>
                      <w:szCs w:val="24"/>
                    </w:rPr>
                  </w:pPr>
                  <w:r>
                    <w:rPr>
                      <w:bCs/>
                      <w:sz w:val="24"/>
                      <w:szCs w:val="24"/>
                    </w:rPr>
                    <w:t>Подрядчик:</w:t>
                  </w:r>
                </w:p>
              </w:tc>
            </w:tr>
            <w:tr>
              <w:trPr/>
              <w:tc>
                <w:tcPr>
                  <w:tcW w:w="470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0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13"/>
              <w:widowControl w:val="false"/>
              <w:jc w:val="left"/>
              <w:rPr>
                <w:i/>
                <w:i/>
                <w:iCs/>
              </w:rPr>
            </w:pPr>
            <w:r>
              <w:rPr>
                <w:i/>
                <w:iCs/>
              </w:rPr>
            </w:r>
          </w:p>
          <w:p>
            <w:pPr>
              <w:pStyle w:val="13"/>
              <w:widowControl w:val="false"/>
              <w:spacing w:before="0" w:after="120"/>
              <w:jc w:val="left"/>
              <w:rPr>
                <w:i/>
                <w:i/>
                <w:iCs/>
              </w:rPr>
            </w:pPr>
            <w:r>
              <w:rPr>
                <w:i/>
                <w:iCs/>
              </w:rPr>
            </w:r>
          </w:p>
        </w:tc>
      </w:tr>
    </w:tbl>
    <w:p>
      <w:pPr>
        <w:pStyle w:val="13"/>
        <w:jc w:val="left"/>
        <w:rPr>
          <w:i/>
          <w:i/>
          <w:iCs/>
        </w:rPr>
      </w:pPr>
      <w:r>
        <w:rPr>
          <w:i/>
          <w:iCs/>
        </w:rPr>
      </w:r>
    </w:p>
    <w:p>
      <w:pPr>
        <w:pStyle w:val="13"/>
        <w:jc w:val="left"/>
        <w:rPr>
          <w:i/>
          <w:i/>
          <w:iCs/>
        </w:rPr>
      </w:pPr>
      <w:r>
        <w:rPr>
          <w:i/>
          <w:iCs/>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left="5103" w:hanging="0"/>
        <w:rPr>
          <w:sz w:val="22"/>
          <w:szCs w:val="22"/>
          <w:highlight w:val="yellow"/>
        </w:rPr>
      </w:pPr>
      <w:r>
        <w:rPr>
          <w:sz w:val="22"/>
          <w:szCs w:val="22"/>
          <w:highlight w:val="yellow"/>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highlight w:val="yellow"/>
        </w:rPr>
      </w:pPr>
      <w:r>
        <w:rPr>
          <w:sz w:val="22"/>
          <w:szCs w:val="22"/>
          <w:highlight w:val="yellow"/>
        </w:rPr>
      </w:r>
      <w:r>
        <w:br w:type="page"/>
      </w:r>
    </w:p>
    <w:p>
      <w:pPr>
        <w:pStyle w:val="Normal"/>
        <w:spacing w:lineRule="auto" w:line="240"/>
        <w:ind w:left="5103" w:hanging="0"/>
        <w:rPr>
          <w:sz w:val="22"/>
          <w:szCs w:val="22"/>
        </w:rPr>
      </w:pPr>
      <w:r>
        <w:rPr>
          <w:sz w:val="22"/>
          <w:szCs w:val="22"/>
        </w:rPr>
        <w:t xml:space="preserve"> </w:t>
      </w:r>
      <w:r>
        <w:rPr>
          <w:sz w:val="22"/>
          <w:szCs w:val="22"/>
        </w:rPr>
        <w:t>Приложение № 5</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jc w:val="center"/>
        <w:rPr>
          <w:b/>
          <w:bCs/>
        </w:rPr>
      </w:pPr>
      <w:r>
        <w:rPr>
          <w:b/>
          <w:bCs/>
        </w:rPr>
      </w:r>
    </w:p>
    <w:p>
      <w:pPr>
        <w:pStyle w:val="Normal"/>
        <w:spacing w:lineRule="auto" w:line="240"/>
        <w:jc w:val="center"/>
        <w:rPr>
          <w:b/>
          <w:sz w:val="24"/>
        </w:rPr>
      </w:pPr>
      <w:r>
        <w:rPr>
          <w:b/>
          <w:sz w:val="24"/>
        </w:rPr>
        <w:t>Перечень допусков, разрешений и лицензий Подрядчика</w:t>
      </w:r>
    </w:p>
    <w:p>
      <w:pPr>
        <w:pStyle w:val="Normal"/>
        <w:spacing w:lineRule="auto" w:line="240"/>
        <w:jc w:val="center"/>
        <w:rPr>
          <w:b/>
          <w:bCs/>
        </w:rPr>
      </w:pPr>
      <w:r>
        <w:rPr>
          <w:b/>
          <w:bCs/>
        </w:rPr>
      </w:r>
    </w:p>
    <w:tbl>
      <w:tblPr>
        <w:tblW w:w="50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679"/>
        <w:gridCol w:w="2161"/>
        <w:gridCol w:w="1227"/>
        <w:gridCol w:w="1091"/>
        <w:gridCol w:w="939"/>
        <w:gridCol w:w="1280"/>
        <w:gridCol w:w="2259"/>
      </w:tblGrid>
      <w:tr>
        <w:trPr>
          <w:trHeight w:val="2142" w:hRule="atLeast"/>
        </w:trPr>
        <w:tc>
          <w:tcPr>
            <w:tcW w:w="6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21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2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0"/>
              <w:jc w:val="center"/>
              <w:rPr>
                <w:bCs/>
                <w:sz w:val="22"/>
                <w:szCs w:val="22"/>
              </w:rPr>
            </w:pPr>
            <w:r>
              <w:rPr>
                <w:bCs/>
                <w:sz w:val="22"/>
                <w:szCs w:val="22"/>
              </w:rPr>
              <w:t xml:space="preserve">кем выдан </w:t>
            </w:r>
          </w:p>
        </w:tc>
        <w:tc>
          <w:tcPr>
            <w:tcW w:w="1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2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6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6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6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Cs/>
        </w:rPr>
      </w:pPr>
      <w:r>
        <w:rPr>
          <w:b/>
          <w:bCs/>
        </w:rPr>
      </w:r>
    </w:p>
    <w:p>
      <w:pPr>
        <w:pStyle w:val="Normal"/>
        <w:spacing w:lineRule="auto" w:line="240"/>
        <w:jc w:val="center"/>
        <w:rPr>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6</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sz w:val="24"/>
        </w:rPr>
      </w:pPr>
      <w:r>
        <w:rPr>
          <w:b/>
          <w:sz w:val="24"/>
        </w:rPr>
      </w:r>
    </w:p>
    <w:p>
      <w:pPr>
        <w:pStyle w:val="Normal"/>
        <w:spacing w:lineRule="auto" w:line="240"/>
        <w:ind w:hanging="0"/>
        <w:jc w:val="center"/>
        <w:rPr>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color w:val="000000"/>
          <w:sz w:val="24"/>
          <w:szCs w:val="24"/>
        </w:rPr>
      </w:pPr>
      <w:r>
        <w:rPr>
          <w:b/>
          <w:bCs/>
          <w:sz w:val="24"/>
          <w:szCs w:val="24"/>
        </w:rPr>
        <w:t>пожарной и промышленной безопасности</w:t>
      </w:r>
    </w:p>
    <w:p>
      <w:pPr>
        <w:pStyle w:val="Normal"/>
        <w:spacing w:lineRule="auto" w:line="240"/>
        <w:rPr>
          <w:b/>
          <w:sz w:val="24"/>
          <w:szCs w:val="24"/>
        </w:rPr>
      </w:pPr>
      <w:r>
        <w:rPr>
          <w:b/>
          <w:sz w:val="24"/>
          <w:szCs w:val="24"/>
        </w:rPr>
      </w:r>
    </w:p>
    <w:tbl>
      <w:tblPr>
        <w:tblW w:w="4850" w:type="pct"/>
        <w:jc w:val="left"/>
        <w:tblInd w:w="0" w:type="dxa"/>
        <w:tblLayout w:type="fixed"/>
        <w:tblCellMar>
          <w:top w:w="0" w:type="dxa"/>
          <w:left w:w="108" w:type="dxa"/>
          <w:bottom w:w="0" w:type="dxa"/>
          <w:right w:w="108" w:type="dxa"/>
        </w:tblCellMar>
        <w:tblLook w:val="01e0" w:noVBand="0" w:noHBand="0" w:lastColumn="1" w:firstColumn="1" w:lastRow="1" w:firstRow="1"/>
      </w:tblPr>
      <w:tblGrid>
        <w:gridCol w:w="3655"/>
        <w:gridCol w:w="5691"/>
      </w:tblGrid>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4"/>
                <w:szCs w:val="24"/>
              </w:rPr>
            </w:pPr>
            <w:r>
              <w:rPr>
                <w:b/>
                <w:sz w:val="24"/>
                <w:szCs w:val="24"/>
              </w:rPr>
              <w:t>Виды нарушений</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4"/>
                <w:szCs w:val="24"/>
              </w:rPr>
            </w:pPr>
            <w:r>
              <w:rPr>
                <w:b/>
                <w:sz w:val="24"/>
                <w:szCs w:val="24"/>
              </w:rPr>
              <w:t>Штрафные санкции</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sz w:val="24"/>
                <w:szCs w:val="24"/>
              </w:rPr>
            </w:pPr>
            <w:r>
              <w:rPr>
                <w:b/>
                <w:sz w:val="24"/>
                <w:szCs w:val="24"/>
              </w:rPr>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tbl>
      <w:tblPr>
        <w:tblW w:w="9571"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785"/>
        <w:gridCol w:w="4785"/>
      </w:tblGrid>
      <w:tr>
        <w:trPr/>
        <w:tc>
          <w:tcPr>
            <w:tcW w:w="4785" w:type="dxa"/>
            <w:tcBorders/>
          </w:tcPr>
          <w:p>
            <w:pPr>
              <w:pStyle w:val="Normal"/>
              <w:pageBreakBefore/>
              <w:widowControl w:val="false"/>
              <w:snapToGrid w:val="false"/>
              <w:spacing w:lineRule="auto" w:line="240"/>
              <w:rPr>
                <w:b/>
                <w:bCs/>
                <w:szCs w:val="24"/>
              </w:rPr>
            </w:pPr>
            <w:r>
              <w:rPr>
                <w:b/>
                <w:bCs/>
                <w:szCs w:val="24"/>
              </w:rPr>
            </w:r>
          </w:p>
        </w:tc>
        <w:tc>
          <w:tcPr>
            <w:tcW w:w="4785" w:type="dxa"/>
            <w:tcBorders/>
          </w:tcPr>
          <w:p>
            <w:pPr>
              <w:pStyle w:val="Normal"/>
              <w:widowControl w:val="false"/>
              <w:shd w:val="clear" w:color="auto" w:fill="FFFFFF"/>
              <w:spacing w:lineRule="auto" w:line="240"/>
              <w:ind w:firstLine="352"/>
              <w:rPr>
                <w:bCs/>
                <w:sz w:val="22"/>
                <w:szCs w:val="22"/>
              </w:rPr>
            </w:pPr>
            <w:r>
              <w:rPr>
                <w:bCs/>
                <w:sz w:val="22"/>
                <w:szCs w:val="22"/>
              </w:rPr>
              <w:t>Приложение № 7</w:t>
            </w:r>
          </w:p>
          <w:p>
            <w:pPr>
              <w:pStyle w:val="Normal"/>
              <w:widowControl w:val="false"/>
              <w:shd w:val="clear" w:color="auto" w:fill="FFFFFF"/>
              <w:spacing w:lineRule="auto" w:line="240"/>
              <w:ind w:firstLine="352"/>
              <w:rPr>
                <w:bCs/>
                <w:sz w:val="22"/>
                <w:szCs w:val="22"/>
              </w:rPr>
            </w:pPr>
            <w:r>
              <w:rPr>
                <w:bCs/>
                <w:sz w:val="22"/>
                <w:szCs w:val="22"/>
              </w:rPr>
              <w:t xml:space="preserve">к Договору подряда </w:t>
            </w:r>
          </w:p>
          <w:p>
            <w:pPr>
              <w:pStyle w:val="Normal"/>
              <w:widowControl w:val="false"/>
              <w:shd w:val="clear" w:color="auto" w:fill="FFFFFF"/>
              <w:spacing w:lineRule="auto" w:line="240"/>
              <w:ind w:firstLine="352"/>
              <w:rPr>
                <w:bCs/>
                <w:sz w:val="22"/>
                <w:szCs w:val="22"/>
              </w:rPr>
            </w:pPr>
            <w:r>
              <w:rPr>
                <w:bCs/>
                <w:sz w:val="22"/>
                <w:szCs w:val="22"/>
              </w:rPr>
              <w:t>от «___» ________20__ г. № ___</w:t>
            </w:r>
          </w:p>
          <w:p>
            <w:pPr>
              <w:pStyle w:val="Normal"/>
              <w:widowControl w:val="false"/>
              <w:snapToGrid w:val="false"/>
              <w:spacing w:lineRule="auto" w:line="240"/>
              <w:rPr>
                <w:b/>
                <w:bCs/>
                <w:szCs w:val="24"/>
                <w:highlight w:val="lightGray"/>
              </w:rPr>
            </w:pPr>
            <w:r>
              <w:rPr>
                <w:b/>
                <w:bCs/>
                <w:szCs w:val="24"/>
                <w:highlight w:val="lightGray"/>
              </w:rPr>
            </w:r>
          </w:p>
        </w:tc>
      </w:tr>
    </w:tbl>
    <w:p>
      <w:pPr>
        <w:pStyle w:val="Normal"/>
        <w:shd w:val="clear" w:color="auto" w:fill="FFFFFF"/>
        <w:spacing w:lineRule="auto" w:line="240"/>
        <w:jc w:val="center"/>
        <w:rPr>
          <w:b/>
          <w:bCs/>
          <w:szCs w:val="24"/>
        </w:rPr>
      </w:pPr>
      <w:r>
        <w:rPr>
          <w:b/>
          <w:bCs/>
          <w:szCs w:val="24"/>
        </w:rPr>
        <w:t>Акт сдачи-приемки выполненных работ</w:t>
      </w:r>
    </w:p>
    <w:p>
      <w:pPr>
        <w:pStyle w:val="Normal"/>
        <w:shd w:val="clear" w:color="auto" w:fill="FFFFFF"/>
        <w:spacing w:lineRule="auto" w:line="240"/>
        <w:jc w:val="center"/>
        <w:rPr>
          <w:b/>
          <w:bCs/>
          <w:szCs w:val="24"/>
        </w:rPr>
      </w:pPr>
      <w:r>
        <w:rPr>
          <w:b/>
          <w:bCs/>
          <w:szCs w:val="24"/>
        </w:rPr>
        <w:t>(форма)</w:t>
      </w:r>
    </w:p>
    <w:p>
      <w:pPr>
        <w:pStyle w:val="Normal"/>
        <w:shd w:val="clear" w:color="auto" w:fill="FFFFFF"/>
        <w:spacing w:lineRule="auto" w:line="240"/>
        <w:jc w:val="center"/>
        <w:rPr>
          <w:b/>
          <w:bCs/>
          <w:szCs w:val="24"/>
        </w:rPr>
      </w:pPr>
      <w:r>
        <w:rPr>
          <w:b/>
          <w:bCs/>
          <w:szCs w:val="24"/>
        </w:rPr>
      </w:r>
    </w:p>
    <w:tbl>
      <w:tblPr>
        <w:tblW w:w="10070" w:type="dxa"/>
        <w:jc w:val="left"/>
        <w:tblInd w:w="-98" w:type="dxa"/>
        <w:tblLayout w:type="fixed"/>
        <w:tblCellMar>
          <w:top w:w="0" w:type="dxa"/>
          <w:left w:w="10" w:type="dxa"/>
          <w:bottom w:w="0" w:type="dxa"/>
          <w:right w:w="10" w:type="dxa"/>
        </w:tblCellMar>
        <w:tblLook w:val="04a0" w:noVBand="1" w:noHBand="0" w:lastColumn="0" w:firstColumn="1" w:lastRow="0" w:firstRow="1"/>
      </w:tblPr>
      <w:tblGrid>
        <w:gridCol w:w="40"/>
        <w:gridCol w:w="10029"/>
      </w:tblGrid>
      <w:tr>
        <w:trPr/>
        <w:tc>
          <w:tcPr>
            <w:tcW w:w="40"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b/>
                <w:bCs/>
                <w:szCs w:val="24"/>
              </w:rPr>
            </w:pPr>
            <w:r>
              <w:rPr>
                <w:b/>
                <w:bCs/>
                <w:szCs w:val="24"/>
              </w:rPr>
            </w:r>
          </w:p>
        </w:tc>
        <w:tc>
          <w:tcPr>
            <w:tcW w:w="10029" w:type="dxa"/>
            <w:tcBorders>
              <w:top w:val="single" w:sz="8" w:space="0" w:color="000000"/>
              <w:left w:val="single" w:sz="8" w:space="0" w:color="000000"/>
              <w:bottom w:val="single" w:sz="8" w:space="0" w:color="000000"/>
              <w:right w:val="single" w:sz="8" w:space="0" w:color="000000"/>
            </w:tcBorders>
            <w:tcMar>
              <w:left w:w="108" w:type="dxa"/>
              <w:right w:w="108" w:type="dxa"/>
            </w:tcMar>
          </w:tcPr>
          <w:p>
            <w:pPr>
              <w:pStyle w:val="Normal"/>
              <w:widowControl w:val="false"/>
              <w:spacing w:lineRule="auto" w:line="240"/>
              <w:jc w:val="center"/>
              <w:rPr>
                <w:b/>
                <w:bCs/>
                <w:szCs w:val="24"/>
              </w:rPr>
            </w:pPr>
            <w:r>
              <w:rPr>
                <w:b/>
                <w:bCs/>
                <w:szCs w:val="24"/>
              </w:rPr>
            </w:r>
          </w:p>
          <w:p>
            <w:pPr>
              <w:pStyle w:val="Normal"/>
              <w:widowControl w:val="false"/>
              <w:spacing w:lineRule="auto" w:line="240"/>
              <w:jc w:val="center"/>
              <w:rPr>
                <w:b/>
                <w:bCs/>
                <w:sz w:val="20"/>
                <w:szCs w:val="20"/>
              </w:rPr>
            </w:pPr>
            <w:r>
              <w:rPr>
                <w:b/>
                <w:bCs/>
                <w:sz w:val="20"/>
                <w:szCs w:val="20"/>
              </w:rPr>
              <w:t>АКТ СДАЧИ-ПРЕМКИ ВЫПОЛНЕННЫХ РАБОТ №  _________</w:t>
            </w:r>
          </w:p>
          <w:tbl>
            <w:tblPr>
              <w:tblW w:w="9735" w:type="dxa"/>
              <w:jc w:val="left"/>
              <w:tblInd w:w="0" w:type="dxa"/>
              <w:tblLayout w:type="fixed"/>
              <w:tblCellMar>
                <w:top w:w="15" w:type="dxa"/>
                <w:left w:w="15" w:type="dxa"/>
                <w:bottom w:w="0" w:type="dxa"/>
                <w:right w:w="15" w:type="dxa"/>
              </w:tblCellMar>
              <w:tblLook w:val="04a0" w:noVBand="1" w:noHBand="0" w:lastColumn="0" w:firstColumn="1" w:lastRow="0" w:firstRow="1"/>
            </w:tblPr>
            <w:tblGrid>
              <w:gridCol w:w="30"/>
              <w:gridCol w:w="852"/>
              <w:gridCol w:w="2939"/>
              <w:gridCol w:w="1248"/>
              <w:gridCol w:w="229"/>
              <w:gridCol w:w="582"/>
              <w:gridCol w:w="1396"/>
              <w:gridCol w:w="1332"/>
              <w:gridCol w:w="1125"/>
            </w:tblGrid>
            <w:tr>
              <w:trPr>
                <w:trHeight w:val="255" w:hRule="atLeast"/>
              </w:trPr>
              <w:tc>
                <w:tcPr>
                  <w:tcW w:w="9733" w:type="dxa"/>
                  <w:gridSpan w:val="9"/>
                  <w:tcBorders/>
                  <w:vAlign w:val="bottom"/>
                </w:tcPr>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г.___________                                                                                       «_____» _________201_г.</w:t>
                  </w:r>
                </w:p>
                <w:tbl>
                  <w:tblPr>
                    <w:tblW w:w="9590" w:type="dxa"/>
                    <w:jc w:val="left"/>
                    <w:tblInd w:w="0" w:type="dxa"/>
                    <w:tblLayout w:type="fixed"/>
                    <w:tblCellMar>
                      <w:top w:w="15" w:type="dxa"/>
                      <w:left w:w="15" w:type="dxa"/>
                      <w:bottom w:w="0" w:type="dxa"/>
                      <w:right w:w="15" w:type="dxa"/>
                    </w:tblCellMar>
                    <w:tblLook w:val="04a0" w:noVBand="1" w:noHBand="0" w:lastColumn="0" w:firstColumn="1" w:lastRow="0" w:firstRow="1"/>
                  </w:tblPr>
                  <w:tblGrid>
                    <w:gridCol w:w="1356"/>
                    <w:gridCol w:w="8167"/>
                    <w:gridCol w:w="67"/>
                  </w:tblGrid>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p>
                        <w:pPr>
                          <w:pStyle w:val="Normal"/>
                          <w:widowControl w:val="false"/>
                          <w:snapToGrid w:val="false"/>
                          <w:spacing w:lineRule="auto" w:line="240"/>
                          <w:ind w:hanging="0"/>
                          <w:jc w:val="left"/>
                          <w:rPr>
                            <w:sz w:val="22"/>
                            <w:szCs w:val="22"/>
                          </w:rPr>
                        </w:pPr>
                        <w:r>
                          <w:rPr>
                            <w:sz w:val="22"/>
                            <w:szCs w:val="22"/>
                          </w:rPr>
                          <w:t xml:space="preserve">Заказчик: </w:t>
                        </w:r>
                      </w:p>
                    </w:tc>
                    <w:tc>
                      <w:tcPr>
                        <w:tcW w:w="8167" w:type="dxa"/>
                        <w:tcBorders>
                          <w:bottom w:val="single" w:sz="4" w:space="0" w:color="000000"/>
                        </w:tcBorders>
                        <w:vAlign w:val="bottom"/>
                      </w:tcPr>
                      <w:p>
                        <w:pPr>
                          <w:pStyle w:val="Normal"/>
                          <w:widowControl w:val="false"/>
                          <w:snapToGrid w:val="false"/>
                          <w:spacing w:lineRule="auto" w:line="240"/>
                          <w:ind w:hanging="0"/>
                          <w:jc w:val="left"/>
                          <w:rPr>
                            <w:sz w:val="22"/>
                            <w:szCs w:val="22"/>
                          </w:rPr>
                        </w:pPr>
                        <w:r>
                          <w:rPr>
                            <w:sz w:val="22"/>
                            <w:szCs w:val="22"/>
                          </w:rPr>
                        </w:r>
                      </w:p>
                    </w:tc>
                    <w:tc>
                      <w:tcPr>
                        <w:tcW w:w="67" w:type="dxa"/>
                        <w:tcBorders/>
                        <w:tcMar>
                          <w:top w:w="0" w:type="dxa"/>
                          <w:left w:w="0" w:type="dxa"/>
                          <w:right w:w="0" w:type="dxa"/>
                        </w:tcMar>
                      </w:tcPr>
                      <w:p>
                        <w:pPr>
                          <w:pStyle w:val="Normal"/>
                          <w:widowControl w:val="false"/>
                          <w:rPr>
                            <w:sz w:val="22"/>
                            <w:szCs w:val="22"/>
                          </w:rPr>
                        </w:pPr>
                        <w:r>
                          <w:rPr>
                            <w:sz w:val="22"/>
                            <w:szCs w:val="22"/>
                          </w:rPr>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top w:val="single" w:sz="4" w:space="0" w:color="000000"/>
                        </w:tcBorders>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t xml:space="preserve">Подрядчик: </w:t>
                        </w:r>
                      </w:p>
                    </w:tc>
                    <w:tc>
                      <w:tcPr>
                        <w:tcW w:w="8234" w:type="dxa"/>
                        <w:gridSpan w:val="2"/>
                        <w:tcBorders>
                          <w:bottom w:val="single" w:sz="4" w:space="0" w:color="000000"/>
                        </w:tcBorders>
                        <w:vAlign w:val="bottom"/>
                      </w:tcPr>
                      <w:p>
                        <w:pPr>
                          <w:pStyle w:val="Normal"/>
                          <w:widowControl w:val="false"/>
                          <w:snapToGrid w:val="false"/>
                          <w:spacing w:lineRule="auto" w:line="240"/>
                          <w:ind w:hanging="0"/>
                          <w:jc w:val="left"/>
                          <w:rPr>
                            <w:sz w:val="22"/>
                            <w:szCs w:val="22"/>
                          </w:rPr>
                        </w:pPr>
                        <w:r>
                          <w:rPr>
                            <w:sz w:val="22"/>
                            <w:szCs w:val="22"/>
                          </w:rPr>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pPr>
                    <w:pStyle w:val="Normal"/>
                    <w:widowControl w:val="false"/>
                    <w:spacing w:lineRule="auto" w:line="240"/>
                    <w:ind w:hanging="0"/>
                    <w:rPr>
                      <w:sz w:val="20"/>
                      <w:szCs w:val="20"/>
                    </w:rPr>
                  </w:pPr>
                  <w:r>
                    <w:rPr>
                      <w:sz w:val="20"/>
                      <w:szCs w:val="20"/>
                    </w:rPr>
                  </w:r>
                </w:p>
                <w:p>
                  <w:pPr>
                    <w:pStyle w:val="Normal"/>
                    <w:widowControl w:val="false"/>
                    <w:spacing w:lineRule="auto" w:line="240"/>
                    <w:ind w:hanging="0"/>
                    <w:rPr>
                      <w:sz w:val="20"/>
                      <w:szCs w:val="20"/>
                    </w:rPr>
                  </w:pPr>
                  <w:r>
                    <w:rPr>
                      <w:sz w:val="20"/>
                      <w:szCs w:val="20"/>
                    </w:rPr>
                    <w:t>составили настоящий акт о нижеследующем:</w:t>
                  </w:r>
                </w:p>
                <w:p>
                  <w:pPr>
                    <w:pStyle w:val="Normal"/>
                    <w:widowControl w:val="false"/>
                    <w:spacing w:lineRule="auto" w:line="240"/>
                    <w:ind w:hanging="0"/>
                    <w:rPr>
                      <w:sz w:val="20"/>
                      <w:szCs w:val="20"/>
                    </w:rPr>
                  </w:pPr>
                  <w:r>
                    <w:rPr>
                      <w:sz w:val="20"/>
                      <w:szCs w:val="20"/>
                    </w:rPr>
                  </w:r>
                </w:p>
                <w:p>
                  <w:pPr>
                    <w:pStyle w:val="Normal"/>
                    <w:widowControl w:val="false"/>
                    <w:spacing w:lineRule="auto" w:line="240"/>
                    <w:rPr>
                      <w:sz w:val="20"/>
                      <w:szCs w:val="20"/>
                    </w:rPr>
                  </w:pPr>
                  <w:r>
                    <w:rPr>
                      <w:sz w:val="20"/>
                      <w:szCs w:val="20"/>
                    </w:rPr>
                  </w:r>
                </w:p>
              </w:tc>
            </w:tr>
            <w:tr>
              <w:trPr>
                <w:trHeight w:val="255" w:hRule="atLeast"/>
              </w:trPr>
              <w:tc>
                <w:tcPr>
                  <w:tcW w:w="9733" w:type="dxa"/>
                  <w:gridSpan w:val="9"/>
                  <w:tcBorders/>
                  <w:vAlign w:val="bottom"/>
                </w:tcPr>
                <w:p>
                  <w:pPr>
                    <w:pStyle w:val="Normal"/>
                    <w:widowControl w:val="false"/>
                    <w:snapToGrid w:val="false"/>
                    <w:spacing w:lineRule="auto" w:line="240"/>
                    <w:rPr>
                      <w:sz w:val="20"/>
                      <w:szCs w:val="20"/>
                    </w:rPr>
                  </w:pPr>
                  <w:r>
                    <w:rPr>
                      <w:sz w:val="20"/>
                      <w:szCs w:val="20"/>
                    </w:rPr>
                    <w:t>Сметная (договорная) стоимость по договору № _____  от  _________ 200__ г.  -  ___________ руб.</w:t>
                  </w:r>
                </w:p>
                <w:p>
                  <w:pPr>
                    <w:pStyle w:val="Normal"/>
                    <w:widowControl w:val="false"/>
                    <w:snapToGrid w:val="false"/>
                    <w:spacing w:lineRule="auto" w:line="240"/>
                    <w:rPr>
                      <w:i/>
                      <w:i/>
                      <w:iCs/>
                      <w:sz w:val="20"/>
                      <w:szCs w:val="20"/>
                    </w:rPr>
                  </w:pPr>
                  <w:r>
                    <w:rPr>
                      <w:i/>
                      <w:iCs/>
                      <w:sz w:val="20"/>
                      <w:szCs w:val="20"/>
                    </w:rPr>
                    <w:t xml:space="preserve"> </w:t>
                  </w:r>
                </w:p>
              </w:tc>
            </w:tr>
            <w:tr>
              <w:trPr>
                <w:trHeight w:val="255" w:hRule="atLeast"/>
              </w:trPr>
              <w:tc>
                <w:tcPr>
                  <w:tcW w:w="5298" w:type="dxa"/>
                  <w:gridSpan w:val="5"/>
                  <w:tcBorders/>
                  <w:vAlign w:val="bottom"/>
                </w:tcPr>
                <w:p>
                  <w:pPr>
                    <w:pStyle w:val="Normal"/>
                    <w:widowControl w:val="false"/>
                    <w:spacing w:lineRule="auto" w:line="240"/>
                    <w:rPr>
                      <w:sz w:val="20"/>
                      <w:szCs w:val="20"/>
                    </w:rPr>
                  </w:pPr>
                  <w:r>
                    <w:rPr>
                      <w:sz w:val="20"/>
                      <w:szCs w:val="20"/>
                    </w:rPr>
                  </w:r>
                </w:p>
                <w:p>
                  <w:pPr>
                    <w:pStyle w:val="Normal"/>
                    <w:widowControl w:val="false"/>
                    <w:snapToGrid w:val="false"/>
                    <w:spacing w:lineRule="auto" w:line="240"/>
                    <w:rPr>
                      <w:sz w:val="20"/>
                      <w:szCs w:val="20"/>
                    </w:rPr>
                  </w:pPr>
                  <w:r>
                    <w:rPr>
                      <w:sz w:val="20"/>
                      <w:szCs w:val="20"/>
                    </w:rPr>
                  </w:r>
                </w:p>
              </w:tc>
              <w:tc>
                <w:tcPr>
                  <w:tcW w:w="4435" w:type="dxa"/>
                  <w:gridSpan w:val="4"/>
                  <w:tcBorders/>
                  <w:tcMar>
                    <w:top w:w="0" w:type="dxa"/>
                    <w:left w:w="0" w:type="dxa"/>
                    <w:right w:w="0" w:type="dxa"/>
                  </w:tcMar>
                </w:tcPr>
                <w:p>
                  <w:pPr>
                    <w:pStyle w:val="Normal"/>
                    <w:widowControl w:val="false"/>
                    <w:snapToGrid w:val="false"/>
                    <w:spacing w:lineRule="auto" w:line="240"/>
                    <w:ind w:right="180" w:firstLine="567"/>
                    <w:jc w:val="right"/>
                    <w:rPr>
                      <w:sz w:val="20"/>
                      <w:szCs w:val="20"/>
                    </w:rPr>
                  </w:pPr>
                  <w:r>
                    <w:rPr>
                      <w:sz w:val="20"/>
                      <w:szCs w:val="20"/>
                    </w:rPr>
                    <w:t>               </w:t>
                  </w:r>
                  <w:r>
                    <w:rPr>
                      <w:sz w:val="20"/>
                      <w:szCs w:val="20"/>
                      <w:highlight w:val="lightGray"/>
                    </w:rPr>
                    <w:t>Этап № ______</w:t>
                  </w:r>
                  <w:r>
                    <w:rPr>
                      <w:sz w:val="20"/>
                      <w:szCs w:val="20"/>
                    </w:rPr>
                    <w:t xml:space="preserve"> </w:t>
                  </w:r>
                </w:p>
              </w:tc>
            </w:tr>
            <w:tr>
              <w:trPr>
                <w:cantSplit w:val="true"/>
              </w:trPr>
              <w:tc>
                <w:tcPr>
                  <w:tcW w:w="30" w:type="dxa"/>
                  <w:tcBorders/>
                  <w:tcMar>
                    <w:top w:w="0" w:type="dxa"/>
                    <w:left w:w="0" w:type="dxa"/>
                    <w:right w:w="0" w:type="dxa"/>
                  </w:tcMar>
                </w:tcPr>
                <w:p>
                  <w:pPr>
                    <w:pStyle w:val="Normal"/>
                    <w:widowControl w:val="false"/>
                    <w:snapToGrid w:val="false"/>
                    <w:spacing w:lineRule="auto" w:line="240"/>
                    <w:ind w:hanging="0"/>
                    <w:jc w:val="center"/>
                    <w:rPr>
                      <w:b/>
                      <w:bCs/>
                      <w:sz w:val="20"/>
                      <w:szCs w:val="20"/>
                    </w:rPr>
                  </w:pPr>
                  <w:r>
                    <w:rPr>
                      <w:b/>
                      <w:bCs/>
                      <w:sz w:val="20"/>
                      <w:szCs w:val="20"/>
                    </w:rPr>
                  </w:r>
                </w:p>
              </w:tc>
              <w:tc>
                <w:tcPr>
                  <w:tcW w:w="852" w:type="dxa"/>
                  <w:vMerge w:val="restart"/>
                  <w:tcBorders>
                    <w:top w:val="single" w:sz="8" w:space="0" w:color="000000"/>
                    <w:left w:val="single" w:sz="8" w:space="0" w:color="000000"/>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 xml:space="preserve">№ </w:t>
                  </w:r>
                  <w:r>
                    <w:rPr>
                      <w:b/>
                      <w:bCs/>
                      <w:sz w:val="20"/>
                      <w:szCs w:val="20"/>
                    </w:rPr>
                    <w:t>п/п</w:t>
                  </w:r>
                </w:p>
              </w:tc>
              <w:tc>
                <w:tcPr>
                  <w:tcW w:w="2939" w:type="dxa"/>
                  <w:vMerge w:val="restart"/>
                  <w:tcBorders>
                    <w:top w:val="single" w:sz="8" w:space="0" w:color="000000"/>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Наименование работ</w:t>
                  </w:r>
                </w:p>
              </w:tc>
              <w:tc>
                <w:tcPr>
                  <w:tcW w:w="5912" w:type="dxa"/>
                  <w:gridSpan w:val="6"/>
                  <w:tcBorders>
                    <w:top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Выполнено работ</w:t>
                  </w:r>
                </w:p>
              </w:tc>
            </w:tr>
            <w:tr>
              <w:trPr>
                <w:trHeight w:val="693" w:hRule="atLeast"/>
                <w:cantSplit w:val="true"/>
              </w:trPr>
              <w:tc>
                <w:tcPr>
                  <w:tcW w:w="30" w:type="dxa"/>
                  <w:tcBorders/>
                  <w:tcMar>
                    <w:top w:w="0" w:type="dxa"/>
                    <w:left w:w="0" w:type="dxa"/>
                    <w:right w:w="0" w:type="dxa"/>
                  </w:tcMar>
                </w:tcPr>
                <w:p>
                  <w:pPr>
                    <w:pStyle w:val="Normal"/>
                    <w:widowControl w:val="false"/>
                    <w:spacing w:lineRule="auto" w:line="240"/>
                    <w:ind w:hanging="0"/>
                    <w:rPr>
                      <w:b/>
                      <w:bCs/>
                      <w:sz w:val="20"/>
                      <w:szCs w:val="20"/>
                    </w:rPr>
                  </w:pPr>
                  <w:r>
                    <w:rPr>
                      <w:b/>
                      <w:bCs/>
                      <w:sz w:val="20"/>
                      <w:szCs w:val="20"/>
                    </w:rPr>
                  </w:r>
                </w:p>
              </w:tc>
              <w:tc>
                <w:tcPr>
                  <w:tcW w:w="852" w:type="dxa"/>
                  <w:vMerge w:val="continue"/>
                  <w:tcBorders>
                    <w:top w:val="single" w:sz="8" w:space="0" w:color="000000"/>
                    <w:left w:val="single" w:sz="8" w:space="0" w:color="000000"/>
                    <w:bottom w:val="single" w:sz="8" w:space="0" w:color="000000"/>
                    <w:right w:val="single" w:sz="8" w:space="0" w:color="000000"/>
                  </w:tcBorders>
                  <w:tcMar>
                    <w:top w:w="0" w:type="dxa"/>
                    <w:left w:w="0" w:type="dxa"/>
                    <w:right w:w="0" w:type="dxa"/>
                  </w:tcMar>
                  <w:vAlign w:val="center"/>
                </w:tcPr>
                <w:p>
                  <w:pPr>
                    <w:pStyle w:val="Normal"/>
                    <w:widowControl w:val="false"/>
                    <w:spacing w:lineRule="auto" w:line="240"/>
                    <w:ind w:hanging="0"/>
                    <w:rPr>
                      <w:b/>
                      <w:bCs/>
                      <w:sz w:val="20"/>
                      <w:szCs w:val="20"/>
                    </w:rPr>
                  </w:pPr>
                  <w:r>
                    <w:rPr>
                      <w:b/>
                      <w:bCs/>
                      <w:sz w:val="20"/>
                      <w:szCs w:val="20"/>
                    </w:rPr>
                  </w:r>
                </w:p>
              </w:tc>
              <w:tc>
                <w:tcPr>
                  <w:tcW w:w="2939" w:type="dxa"/>
                  <w:vMerge w:val="continue"/>
                  <w:tcBorders>
                    <w:top w:val="single" w:sz="8" w:space="0" w:color="000000"/>
                    <w:bottom w:val="single" w:sz="8" w:space="0" w:color="000000"/>
                    <w:right w:val="single" w:sz="8" w:space="0" w:color="000000"/>
                  </w:tcBorders>
                  <w:tcMar>
                    <w:top w:w="0" w:type="dxa"/>
                    <w:left w:w="0" w:type="dxa"/>
                    <w:right w:w="0" w:type="dxa"/>
                  </w:tcMar>
                  <w:vAlign w:val="center"/>
                </w:tcPr>
                <w:p>
                  <w:pPr>
                    <w:pStyle w:val="Normal"/>
                    <w:widowControl w:val="false"/>
                    <w:spacing w:lineRule="auto" w:line="240"/>
                    <w:ind w:hanging="0"/>
                    <w:rPr>
                      <w:b/>
                      <w:bCs/>
                      <w:sz w:val="20"/>
                      <w:szCs w:val="20"/>
                    </w:rPr>
                  </w:pPr>
                  <w:r>
                    <w:rPr>
                      <w:b/>
                      <w:bCs/>
                      <w:sz w:val="20"/>
                      <w:szCs w:val="20"/>
                    </w:rPr>
                  </w:r>
                </w:p>
              </w:tc>
              <w:tc>
                <w:tcPr>
                  <w:tcW w:w="1248"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ед. </w:t>
                  </w:r>
                </w:p>
                <w:p>
                  <w:pPr>
                    <w:pStyle w:val="Normal"/>
                    <w:widowControl w:val="false"/>
                    <w:snapToGrid w:val="false"/>
                    <w:spacing w:lineRule="auto" w:line="240"/>
                    <w:ind w:hanging="0"/>
                    <w:jc w:val="center"/>
                    <w:rPr>
                      <w:b/>
                      <w:bCs/>
                      <w:sz w:val="20"/>
                      <w:szCs w:val="20"/>
                    </w:rPr>
                  </w:pPr>
                  <w:r>
                    <w:rPr>
                      <w:b/>
                      <w:bCs/>
                      <w:sz w:val="20"/>
                      <w:szCs w:val="20"/>
                    </w:rPr>
                    <w:t>изм.</w:t>
                  </w:r>
                </w:p>
              </w:tc>
              <w:tc>
                <w:tcPr>
                  <w:tcW w:w="811" w:type="dxa"/>
                  <w:gridSpan w:val="2"/>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коли-чество</w:t>
                  </w:r>
                </w:p>
              </w:tc>
              <w:tc>
                <w:tcPr>
                  <w:tcW w:w="1396"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цена за </w:t>
                  </w:r>
                </w:p>
                <w:p>
                  <w:pPr>
                    <w:pStyle w:val="Normal"/>
                    <w:widowControl w:val="false"/>
                    <w:snapToGrid w:val="false"/>
                    <w:spacing w:lineRule="auto" w:line="240"/>
                    <w:ind w:hanging="0"/>
                    <w:jc w:val="center"/>
                    <w:rPr>
                      <w:b/>
                      <w:bCs/>
                      <w:sz w:val="20"/>
                      <w:szCs w:val="20"/>
                    </w:rPr>
                  </w:pPr>
                  <w:r>
                    <w:rPr>
                      <w:b/>
                      <w:bCs/>
                      <w:sz w:val="20"/>
                      <w:szCs w:val="20"/>
                    </w:rPr>
                    <w:t>1 ед., руб.</w:t>
                  </w:r>
                </w:p>
              </w:tc>
              <w:tc>
                <w:tcPr>
                  <w:tcW w:w="1332"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стоимость, </w:t>
                  </w:r>
                </w:p>
                <w:p>
                  <w:pPr>
                    <w:pStyle w:val="Normal"/>
                    <w:widowControl w:val="false"/>
                    <w:snapToGrid w:val="false"/>
                    <w:spacing w:lineRule="auto" w:line="240"/>
                    <w:ind w:hanging="0"/>
                    <w:jc w:val="center"/>
                    <w:rPr>
                      <w:b/>
                      <w:bCs/>
                      <w:sz w:val="20"/>
                      <w:szCs w:val="20"/>
                    </w:rPr>
                  </w:pPr>
                  <w:r>
                    <w:rPr>
                      <w:b/>
                      <w:bCs/>
                      <w:sz w:val="20"/>
                      <w:szCs w:val="20"/>
                    </w:rPr>
                    <w:t>руб.</w:t>
                  </w:r>
                </w:p>
              </w:tc>
              <w:tc>
                <w:tcPr>
                  <w:tcW w:w="1125" w:type="dxa"/>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в т.ч. НДС, руб.</w:t>
                  </w:r>
                </w:p>
              </w:tc>
            </w:tr>
            <w:tr>
              <w:trPr/>
              <w:tc>
                <w:tcPr>
                  <w:tcW w:w="30" w:type="dxa"/>
                  <w:tcBorders/>
                  <w:tcMar>
                    <w:top w:w="0" w:type="dxa"/>
                    <w:left w:w="0" w:type="dxa"/>
                    <w:right w:w="0" w:type="dxa"/>
                  </w:tcMar>
                </w:tcPr>
                <w:p>
                  <w:pPr>
                    <w:pStyle w:val="Normal"/>
                    <w:widowControl w:val="false"/>
                    <w:snapToGrid w:val="false"/>
                    <w:spacing w:lineRule="auto" w:line="240"/>
                    <w:ind w:hanging="0"/>
                    <w:jc w:val="center"/>
                    <w:rPr>
                      <w:b/>
                      <w:bCs/>
                      <w:sz w:val="20"/>
                      <w:szCs w:val="20"/>
                    </w:rPr>
                  </w:pPr>
                  <w:r>
                    <w:rPr>
                      <w:b/>
                      <w:bCs/>
                      <w:sz w:val="20"/>
                      <w:szCs w:val="20"/>
                    </w:rPr>
                  </w:r>
                </w:p>
              </w:tc>
              <w:tc>
                <w:tcPr>
                  <w:tcW w:w="852"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1</w:t>
                  </w:r>
                </w:p>
              </w:tc>
              <w:tc>
                <w:tcPr>
                  <w:tcW w:w="293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2</w:t>
                  </w:r>
                </w:p>
              </w:tc>
              <w:tc>
                <w:tcPr>
                  <w:tcW w:w="1248"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3</w:t>
                  </w:r>
                </w:p>
              </w:tc>
              <w:tc>
                <w:tcPr>
                  <w:tcW w:w="811"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4</w:t>
                  </w:r>
                </w:p>
              </w:tc>
              <w:tc>
                <w:tcPr>
                  <w:tcW w:w="1396"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5</w:t>
                  </w:r>
                </w:p>
              </w:tc>
              <w:tc>
                <w:tcPr>
                  <w:tcW w:w="133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6</w:t>
                  </w:r>
                </w:p>
              </w:tc>
              <w:tc>
                <w:tcPr>
                  <w:tcW w:w="112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7</w:t>
                  </w:r>
                </w:p>
              </w:tc>
            </w:tr>
            <w:tr>
              <w:trPr/>
              <w:tc>
                <w:tcPr>
                  <w:tcW w:w="30"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852"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93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8"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1"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96"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2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30"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852"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93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8"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1"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96"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2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30"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852"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93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8"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1"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96"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2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30" w:type="dxa"/>
                  <w:tcBorders/>
                  <w:tcMar>
                    <w:top w:w="0" w:type="dxa"/>
                    <w:left w:w="0" w:type="dxa"/>
                    <w:right w:w="0" w:type="dxa"/>
                  </w:tcMar>
                </w:tcPr>
                <w:p>
                  <w:pPr>
                    <w:pStyle w:val="Normal"/>
                    <w:widowControl w:val="false"/>
                    <w:snapToGrid w:val="false"/>
                    <w:spacing w:lineRule="auto" w:line="240"/>
                    <w:rPr>
                      <w:sz w:val="20"/>
                      <w:szCs w:val="20"/>
                    </w:rPr>
                  </w:pPr>
                  <w:r>
                    <w:rPr>
                      <w:sz w:val="20"/>
                      <w:szCs w:val="20"/>
                    </w:rPr>
                  </w:r>
                </w:p>
              </w:tc>
              <w:tc>
                <w:tcPr>
                  <w:tcW w:w="3791" w:type="dxa"/>
                  <w:gridSpan w:val="2"/>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t xml:space="preserve">Выполнено работ </w:t>
                  </w:r>
                  <w:r>
                    <w:rPr>
                      <w:sz w:val="20"/>
                      <w:szCs w:val="20"/>
                      <w:highlight w:val="lightGray"/>
                    </w:rPr>
                    <w:t>по этапу</w:t>
                  </w:r>
                </w:p>
              </w:tc>
              <w:tc>
                <w:tcPr>
                  <w:tcW w:w="3455" w:type="dxa"/>
                  <w:gridSpan w:val="4"/>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jc w:val="center"/>
                    <w:rPr>
                      <w:b/>
                      <w:bCs/>
                      <w:sz w:val="20"/>
                      <w:szCs w:val="20"/>
                    </w:rPr>
                  </w:pPr>
                  <w:r>
                    <w:rPr>
                      <w:b/>
                      <w:bCs/>
                      <w:sz w:val="20"/>
                      <w:szCs w:val="20"/>
                    </w:rPr>
                    <w:t>ИТОГО</w:t>
                  </w:r>
                </w:p>
              </w:tc>
              <w:tc>
                <w:tcPr>
                  <w:tcW w:w="133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2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bl>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Выполненные работы удовлетворяют условиям договора (техническому заданию).</w:t>
            </w:r>
          </w:p>
          <w:p>
            <w:pPr>
              <w:pStyle w:val="Normal"/>
              <w:widowControl w:val="false"/>
              <w:spacing w:lineRule="auto" w:line="240"/>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pPr>
              <w:pStyle w:val="Normal"/>
              <w:widowControl w:val="false"/>
              <w:spacing w:lineRule="auto" w:line="240"/>
              <w:rPr>
                <w:sz w:val="20"/>
                <w:szCs w:val="20"/>
              </w:rPr>
            </w:pPr>
            <w:r>
              <w:rPr>
                <w:sz w:val="20"/>
                <w:szCs w:val="20"/>
              </w:rPr>
              <w:t>____________________________________________________________________</w:t>
            </w:r>
          </w:p>
          <w:tbl>
            <w:tblPr>
              <w:tblW w:w="9720" w:type="dxa"/>
              <w:jc w:val="left"/>
              <w:tblInd w:w="108" w:type="dxa"/>
              <w:tblLayout w:type="fixed"/>
              <w:tblCellMar>
                <w:top w:w="0" w:type="dxa"/>
                <w:left w:w="108" w:type="dxa"/>
                <w:bottom w:w="0" w:type="dxa"/>
                <w:right w:w="108" w:type="dxa"/>
              </w:tblCellMar>
              <w:tblLook w:val="04a0" w:noVBand="1" w:noHBand="0" w:lastColumn="0" w:firstColumn="1" w:lastRow="0" w:firstRow="1"/>
            </w:tblPr>
            <w:tblGrid>
              <w:gridCol w:w="451"/>
              <w:gridCol w:w="4049"/>
              <w:gridCol w:w="714"/>
              <w:gridCol w:w="340"/>
              <w:gridCol w:w="4166"/>
            </w:tblGrid>
            <w:tr>
              <w:trPr>
                <w:cantSplit w:val="true"/>
              </w:trPr>
              <w:tc>
                <w:tcPr>
                  <w:tcW w:w="4500" w:type="dxa"/>
                  <w:gridSpan w:val="2"/>
                  <w:tcBorders/>
                </w:tcPr>
                <w:p>
                  <w:pPr>
                    <w:pStyle w:val="Normal"/>
                    <w:widowControl w:val="false"/>
                    <w:spacing w:lineRule="auto" w:line="240"/>
                    <w:rPr>
                      <w:sz w:val="20"/>
                      <w:szCs w:val="20"/>
                    </w:rPr>
                  </w:pPr>
                  <w:r>
                    <w:rPr>
                      <w:b/>
                      <w:bCs/>
                      <w:sz w:val="20"/>
                      <w:szCs w:val="20"/>
                    </w:rPr>
                    <w:t>Заказчика:</w:t>
                  </w:r>
                </w:p>
              </w:tc>
              <w:tc>
                <w:tcPr>
                  <w:tcW w:w="714" w:type="dxa"/>
                  <w:vMerge w:val="restart"/>
                  <w:tcBorders/>
                </w:tcPr>
                <w:p>
                  <w:pPr>
                    <w:pStyle w:val="Normal"/>
                    <w:widowControl w:val="false"/>
                    <w:snapToGrid w:val="false"/>
                    <w:spacing w:lineRule="auto" w:line="240"/>
                    <w:rPr>
                      <w:sz w:val="20"/>
                      <w:szCs w:val="20"/>
                    </w:rPr>
                  </w:pPr>
                  <w:r>
                    <w:rPr>
                      <w:sz w:val="20"/>
                      <w:szCs w:val="20"/>
                    </w:rPr>
                  </w:r>
                </w:p>
              </w:tc>
              <w:tc>
                <w:tcPr>
                  <w:tcW w:w="4506" w:type="dxa"/>
                  <w:gridSpan w:val="2"/>
                  <w:tcBorders/>
                </w:tcPr>
                <w:p>
                  <w:pPr>
                    <w:pStyle w:val="Normal"/>
                    <w:widowControl w:val="false"/>
                    <w:spacing w:lineRule="auto" w:line="240"/>
                    <w:rPr>
                      <w:sz w:val="20"/>
                      <w:szCs w:val="20"/>
                    </w:rPr>
                  </w:pPr>
                  <w:r>
                    <w:rPr>
                      <w:b/>
                      <w:bCs/>
                      <w:sz w:val="20"/>
                      <w:szCs w:val="20"/>
                    </w:rPr>
                    <w:t>Подрядчика:</w:t>
                  </w:r>
                </w:p>
              </w:tc>
            </w:tr>
            <w:tr>
              <w:trPr>
                <w:cantSplit w:val="true"/>
              </w:trPr>
              <w:tc>
                <w:tcPr>
                  <w:tcW w:w="4500" w:type="dxa"/>
                  <w:gridSpan w:val="2"/>
                  <w:tcBorders/>
                </w:tcPr>
                <w:p>
                  <w:pPr>
                    <w:pStyle w:val="Normal"/>
                    <w:widowControl w:val="false"/>
                    <w:snapToGrid w:val="false"/>
                    <w:spacing w:lineRule="auto" w:line="240"/>
                    <w:rPr>
                      <w:b/>
                      <w:bCs/>
                      <w:sz w:val="20"/>
                      <w:szCs w:val="20"/>
                    </w:rPr>
                  </w:pPr>
                  <w:r>
                    <w:rPr>
                      <w:b/>
                      <w:bCs/>
                      <w:sz w:val="20"/>
                      <w:szCs w:val="20"/>
                    </w:rPr>
                  </w:r>
                </w:p>
              </w:tc>
              <w:tc>
                <w:tcPr>
                  <w:tcW w:w="714"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506" w:type="dxa"/>
                  <w:gridSpan w:val="2"/>
                  <w:tcBorders/>
                </w:tcPr>
                <w:p>
                  <w:pPr>
                    <w:pStyle w:val="Normal"/>
                    <w:widowControl w:val="false"/>
                    <w:snapToGrid w:val="false"/>
                    <w:spacing w:lineRule="auto" w:line="240"/>
                    <w:rPr>
                      <w:b/>
                      <w:bCs/>
                      <w:sz w:val="20"/>
                      <w:szCs w:val="20"/>
                    </w:rPr>
                  </w:pPr>
                  <w:r>
                    <w:rPr>
                      <w:b/>
                      <w:bCs/>
                      <w:sz w:val="20"/>
                      <w:szCs w:val="20"/>
                    </w:rPr>
                  </w:r>
                </w:p>
              </w:tc>
            </w:tr>
            <w:tr>
              <w:trPr>
                <w:cantSplit w:val="true"/>
              </w:trPr>
              <w:tc>
                <w:tcPr>
                  <w:tcW w:w="451" w:type="dxa"/>
                  <w:vMerge w:val="restart"/>
                  <w:tcBorders/>
                </w:tcPr>
                <w:p>
                  <w:pPr>
                    <w:pStyle w:val="Normal"/>
                    <w:widowControl w:val="false"/>
                    <w:snapToGrid w:val="false"/>
                    <w:spacing w:lineRule="auto" w:line="240"/>
                    <w:rPr>
                      <w:sz w:val="20"/>
                      <w:szCs w:val="20"/>
                    </w:rPr>
                  </w:pPr>
                  <w:r>
                    <w:rPr>
                      <w:sz w:val="20"/>
                      <w:szCs w:val="20"/>
                    </w:rPr>
                  </w:r>
                </w:p>
              </w:tc>
              <w:tc>
                <w:tcPr>
                  <w:tcW w:w="4049"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(должность)</w:t>
                  </w:r>
                </w:p>
              </w:tc>
              <w:tc>
                <w:tcPr>
                  <w:tcW w:w="714"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0" w:type="dxa"/>
                  <w:vMerge w:val="restart"/>
                  <w:tcBorders/>
                </w:tcPr>
                <w:p>
                  <w:pPr>
                    <w:pStyle w:val="Normal"/>
                    <w:widowControl w:val="false"/>
                    <w:snapToGrid w:val="false"/>
                    <w:spacing w:lineRule="auto" w:line="240"/>
                    <w:rPr>
                      <w:sz w:val="20"/>
                      <w:szCs w:val="20"/>
                    </w:rPr>
                  </w:pPr>
                  <w:r>
                    <w:rPr>
                      <w:sz w:val="20"/>
                      <w:szCs w:val="20"/>
                    </w:rPr>
                  </w:r>
                </w:p>
              </w:tc>
              <w:tc>
                <w:tcPr>
                  <w:tcW w:w="4166"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(должность)</w:t>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bottom w:val="single" w:sz="4" w:space="0" w:color="000000"/>
                  </w:tcBorders>
                </w:tcPr>
                <w:p>
                  <w:pPr>
                    <w:pStyle w:val="Normal"/>
                    <w:widowControl w:val="false"/>
                    <w:snapToGrid w:val="false"/>
                    <w:spacing w:lineRule="auto" w:line="240"/>
                    <w:rPr>
                      <w:sz w:val="20"/>
                      <w:szCs w:val="20"/>
                    </w:rPr>
                  </w:pPr>
                  <w:r>
                    <w:rPr>
                      <w:sz w:val="20"/>
                      <w:szCs w:val="20"/>
                    </w:rPr>
                  </w:r>
                </w:p>
              </w:tc>
              <w:tc>
                <w:tcPr>
                  <w:tcW w:w="714"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0"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bottom w:val="single" w:sz="4" w:space="0" w:color="000000"/>
                  </w:tcBorders>
                </w:tcPr>
                <w:p>
                  <w:pPr>
                    <w:pStyle w:val="Normal"/>
                    <w:widowControl w:val="false"/>
                    <w:snapToGrid w:val="false"/>
                    <w:spacing w:lineRule="auto" w:line="240"/>
                    <w:rPr>
                      <w:sz w:val="20"/>
                      <w:szCs w:val="20"/>
                    </w:rPr>
                  </w:pPr>
                  <w:r>
                    <w:rPr>
                      <w:sz w:val="20"/>
                      <w:szCs w:val="20"/>
                    </w:rPr>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(подпись)</w:t>
                  </w:r>
                </w:p>
              </w:tc>
              <w:tc>
                <w:tcPr>
                  <w:tcW w:w="714"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0"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(подпись)</w:t>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bottom w:val="single" w:sz="4" w:space="0" w:color="000000"/>
                  </w:tcBorders>
                </w:tcPr>
                <w:p>
                  <w:pPr>
                    <w:pStyle w:val="Normal"/>
                    <w:widowControl w:val="false"/>
                    <w:snapToGrid w:val="false"/>
                    <w:spacing w:lineRule="auto" w:line="240"/>
                    <w:rPr>
                      <w:sz w:val="20"/>
                      <w:szCs w:val="20"/>
                    </w:rPr>
                  </w:pPr>
                  <w:r>
                    <w:rPr>
                      <w:sz w:val="20"/>
                      <w:szCs w:val="20"/>
                    </w:rPr>
                  </w:r>
                </w:p>
              </w:tc>
              <w:tc>
                <w:tcPr>
                  <w:tcW w:w="714"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0"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bottom w:val="single" w:sz="4" w:space="0" w:color="000000"/>
                  </w:tcBorders>
                </w:tcPr>
                <w:p>
                  <w:pPr>
                    <w:pStyle w:val="Normal"/>
                    <w:widowControl w:val="false"/>
                    <w:snapToGrid w:val="false"/>
                    <w:spacing w:lineRule="auto" w:line="240"/>
                    <w:rPr>
                      <w:sz w:val="20"/>
                      <w:szCs w:val="20"/>
                    </w:rPr>
                  </w:pPr>
                  <w:r>
                    <w:rPr>
                      <w:sz w:val="20"/>
                      <w:szCs w:val="20"/>
                    </w:rPr>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0"/>
                  </w:tcBorders>
                </w:tcPr>
                <w:p>
                  <w:pPr>
                    <w:pStyle w:val="Normal"/>
                    <w:widowControl w:val="false"/>
                    <w:snapToGrid w:val="false"/>
                    <w:spacing w:lineRule="auto" w:line="240"/>
                    <w:ind w:firstLine="7"/>
                    <w:jc w:val="center"/>
                    <w:rPr>
                      <w:sz w:val="20"/>
                      <w:szCs w:val="20"/>
                    </w:rPr>
                  </w:pPr>
                  <w:r>
                    <w:rPr>
                      <w:i/>
                      <w:iCs/>
                      <w:sz w:val="20"/>
                      <w:szCs w:val="20"/>
                    </w:rPr>
                    <w:t>(расшифровка подписи)</w:t>
                  </w:r>
                </w:p>
              </w:tc>
              <w:tc>
                <w:tcPr>
                  <w:tcW w:w="714"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0"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(расшифровка подписи)</w:t>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cPr>
                <w:p>
                  <w:pPr>
                    <w:pStyle w:val="Normal"/>
                    <w:widowControl w:val="false"/>
                    <w:snapToGrid w:val="false"/>
                    <w:spacing w:lineRule="auto" w:line="240"/>
                    <w:rPr>
                      <w:sz w:val="20"/>
                      <w:szCs w:val="20"/>
                    </w:rPr>
                  </w:pPr>
                  <w:r>
                    <w:rPr>
                      <w:sz w:val="20"/>
                      <w:szCs w:val="20"/>
                    </w:rPr>
                  </w:r>
                </w:p>
              </w:tc>
              <w:tc>
                <w:tcPr>
                  <w:tcW w:w="714"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0"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cPr>
                <w:p>
                  <w:pPr>
                    <w:pStyle w:val="Normal"/>
                    <w:widowControl w:val="false"/>
                    <w:snapToGrid w:val="false"/>
                    <w:spacing w:lineRule="auto" w:line="240"/>
                    <w:rPr>
                      <w:sz w:val="20"/>
                      <w:szCs w:val="20"/>
                    </w:rPr>
                  </w:pPr>
                  <w:r>
                    <w:rPr>
                      <w:sz w:val="20"/>
                      <w:szCs w:val="20"/>
                    </w:rPr>
                  </w:r>
                </w:p>
              </w:tc>
            </w:tr>
          </w:tbl>
          <w:p>
            <w:pPr>
              <w:pStyle w:val="Normal"/>
              <w:widowControl w:val="false"/>
              <w:snapToGrid w:val="false"/>
              <w:spacing w:lineRule="auto" w:line="240"/>
              <w:ind w:right="-76" w:firstLine="567"/>
              <w:jc w:val="center"/>
              <w:rPr>
                <w:szCs w:val="24"/>
              </w:rPr>
            </w:pPr>
            <w:r>
              <w:rPr>
                <w:szCs w:val="24"/>
              </w:rPr>
            </w:r>
          </w:p>
        </w:tc>
      </w:tr>
    </w:tbl>
    <w:p>
      <w:pPr>
        <w:pStyle w:val="Normal"/>
        <w:spacing w:lineRule="auto" w:line="240"/>
        <w:ind w:left="5103" w:firstLine="567"/>
        <w:rPr>
          <w:highlight w:val="yellow"/>
        </w:rPr>
      </w:pPr>
      <w:r>
        <w:rPr>
          <w:highlight w:val="yellow"/>
        </w:rPr>
      </w:r>
    </w:p>
    <w:p>
      <w:pPr>
        <w:pStyle w:val="Normal"/>
        <w:spacing w:lineRule="auto" w:line="240"/>
        <w:ind w:left="5103" w:firstLine="567"/>
        <w:rPr>
          <w:highlight w:val="yellow"/>
        </w:rPr>
      </w:pPr>
      <w:r>
        <w:rPr>
          <w:highlight w:val="yellow"/>
        </w:rPr>
      </w:r>
    </w:p>
    <w:tbl>
      <w:tblPr>
        <w:tblW w:w="9637"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878"/>
        <w:gridCol w:w="4758"/>
      </w:tblGrid>
      <w:tr>
        <w:trPr/>
        <w:tc>
          <w:tcPr>
            <w:tcW w:w="4878" w:type="dxa"/>
            <w:tcBorders/>
          </w:tcPr>
          <w:p>
            <w:pPr>
              <w:pStyle w:val="Normal"/>
              <w:widowControl w:val="false"/>
              <w:spacing w:lineRule="auto" w:line="240"/>
              <w:rPr>
                <w:b/>
                <w:sz w:val="24"/>
                <w:szCs w:val="24"/>
                <w:lang w:val="en-US"/>
              </w:rPr>
            </w:pPr>
            <w:r>
              <w:rPr>
                <w:b/>
                <w:sz w:val="24"/>
                <w:szCs w:val="24"/>
              </w:rPr>
              <w:t>Заказчик</w:t>
            </w:r>
            <w:r>
              <w:rPr>
                <w:b/>
                <w:sz w:val="24"/>
                <w:szCs w:val="24"/>
                <w:lang w:val="en-US"/>
              </w:rPr>
              <w:t>:</w:t>
            </w:r>
          </w:p>
          <w:p>
            <w:pPr>
              <w:pStyle w:val="Normal"/>
              <w:widowControl w:val="false"/>
              <w:spacing w:lineRule="auto" w:line="240"/>
              <w:rPr>
                <w:b/>
                <w:sz w:val="24"/>
                <w:szCs w:val="24"/>
              </w:rPr>
            </w:pPr>
            <w:r>
              <w:rPr>
                <w:b/>
                <w:sz w:val="24"/>
                <w:szCs w:val="24"/>
              </w:rPr>
            </w:r>
          </w:p>
          <w:p>
            <w:pPr>
              <w:pStyle w:val="Normal"/>
              <w:widowControl w:val="false"/>
              <w:spacing w:lineRule="auto" w:line="240"/>
              <w:ind w:firstLine="34"/>
              <w:rPr>
                <w:b/>
                <w:sz w:val="24"/>
                <w:szCs w:val="24"/>
              </w:rPr>
            </w:pPr>
            <w:r>
              <w:rPr>
                <w:b/>
                <w:sz w:val="24"/>
                <w:szCs w:val="24"/>
              </w:rPr>
              <w:t>__________/____________________________</w:t>
            </w:r>
          </w:p>
        </w:tc>
        <w:tc>
          <w:tcPr>
            <w:tcW w:w="4758" w:type="dxa"/>
            <w:tcBorders/>
          </w:tcPr>
          <w:p>
            <w:pPr>
              <w:pStyle w:val="Normal"/>
              <w:widowControl w:val="false"/>
              <w:spacing w:lineRule="auto" w:line="240"/>
              <w:rPr>
                <w:b/>
                <w:sz w:val="24"/>
                <w:szCs w:val="24"/>
              </w:rPr>
            </w:pPr>
            <w:r>
              <w:rPr>
                <w:b/>
                <w:sz w:val="24"/>
                <w:szCs w:val="24"/>
              </w:rPr>
              <w:t>Подрядчик:</w:t>
            </w:r>
          </w:p>
          <w:p>
            <w:pPr>
              <w:pStyle w:val="Normal"/>
              <w:widowControl w:val="false"/>
              <w:spacing w:lineRule="auto" w:line="240"/>
              <w:rPr>
                <w:b/>
                <w:sz w:val="24"/>
                <w:szCs w:val="24"/>
              </w:rPr>
            </w:pPr>
            <w:r>
              <w:rPr>
                <w:b/>
                <w:sz w:val="24"/>
                <w:szCs w:val="24"/>
              </w:rPr>
            </w:r>
          </w:p>
          <w:p>
            <w:pPr>
              <w:pStyle w:val="Normal"/>
              <w:widowControl w:val="false"/>
              <w:spacing w:lineRule="auto" w:line="240"/>
              <w:ind w:hanging="0"/>
              <w:rPr>
                <w:b/>
                <w:sz w:val="24"/>
                <w:szCs w:val="24"/>
              </w:rPr>
            </w:pPr>
            <w:r>
              <w:rPr>
                <w:b/>
                <w:sz w:val="24"/>
                <w:szCs w:val="24"/>
              </w:rPr>
              <w:t>_______________/________</w:t>
            </w:r>
          </w:p>
          <w:p>
            <w:pPr>
              <w:pStyle w:val="Normal"/>
              <w:widowControl w:val="false"/>
              <w:spacing w:lineRule="auto" w:line="240"/>
              <w:ind w:hanging="0"/>
              <w:rPr>
                <w:b/>
                <w:sz w:val="24"/>
                <w:szCs w:val="24"/>
              </w:rPr>
            </w:pPr>
            <w:r>
              <w:rPr>
                <w:b/>
                <w:sz w:val="24"/>
                <w:szCs w:val="24"/>
              </w:rPr>
              <w:t>______________</w:t>
            </w:r>
          </w:p>
        </w:tc>
      </w:tr>
    </w:tbl>
    <w:p>
      <w:pPr>
        <w:pStyle w:val="Normal"/>
        <w:shd w:val="clear" w:color="auto" w:fill="FFFFFF"/>
        <w:spacing w:lineRule="auto" w:line="240"/>
        <w:ind w:left="3119" w:firstLine="1984"/>
        <w:rPr>
          <w:sz w:val="22"/>
          <w:szCs w:val="22"/>
        </w:rPr>
      </w:pPr>
      <w:r>
        <w:rPr/>
      </w:r>
    </w:p>
    <w:sectPr>
      <w:headerReference w:type="default" r:id="rId9"/>
      <w:headerReference w:type="first" r:id="rId10"/>
      <w:footerReference w:type="default" r:id="rId11"/>
      <w:footerReference w:type="first" r:id="rId12"/>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OpenSymbol">
    <w:altName w:val="Arial Unicode MS"/>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Courier Ne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1"/>
      <w:spacing w:before="0" w:after="160"/>
      <w:rPr>
        <w:rFonts w:ascii="Times New Roman" w:hAnsi="Times New Roman" w:cs="Times New Roman"/>
        <w:sz w:val="18"/>
        <w:szCs w:val="18"/>
      </w:rPr>
    </w:pPr>
    <w:r>
      <w:rPr>
        <w:rFonts w:cs="Times New Roman" w:ascii="Times New Roman" w:hAnsi="Times New Roman"/>
        <w:sz w:val="18"/>
        <w:szCs w:val="18"/>
        <w:lang w:val="ru-RU"/>
      </w:rPr>
      <w:t xml:space="preserve">Документ распечатан из программы 1С: Документооборот. </w:t>
    </w:r>
    <w:r>
      <w:rPr>
        <w:rFonts w:cs="Times New Roman" w:ascii="Times New Roman" w:hAnsi="Times New Roman"/>
        <w:sz w:val="18"/>
        <w:szCs w:val="18"/>
      </w:rPr>
      <w:t>Версия файла 2.</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15"/>
        </w:rPr>
        <w:footnoteRef/>
      </w:r>
      <w:r>
        <w:rPr/>
        <w:t xml:space="preserve"> </w:t>
      </w:r>
      <w:r>
        <w:rPr/>
        <w:t>Необходимость участия Подрядчика в конкретном СРО определяется в зависимости от состава Работ, выполняемых по Договору.</w:t>
      </w:r>
    </w:p>
  </w:footnote>
  <w:footnote w:id="3">
    <w:p>
      <w:pPr>
        <w:pStyle w:val="FootnoteText"/>
        <w:jc w:val="both"/>
        <w:rPr/>
      </w:pPr>
      <w:r>
        <w:rPr>
          <w:rStyle w:val="Style15"/>
        </w:rPr>
        <w:footnoteRef/>
      </w:r>
      <w:r>
        <w:rPr/>
        <w:t xml:space="preserve"> </w:t>
      </w:r>
      <w:r>
        <w:rPr/>
        <w:t>Не требуется членство в СРО контрагентов по договорам на проведение инженерных изысканий, разработку проектной документации в следующих случаях:</w:t>
      </w:r>
    </w:p>
    <w:p>
      <w:pPr>
        <w:pStyle w:val="FootnoteText"/>
        <w:tabs>
          <w:tab w:val="clear" w:pos="708"/>
          <w:tab w:val="left" w:pos="284" w:leader="none"/>
        </w:tabs>
        <w:jc w:val="both"/>
        <w:rPr/>
      </w:pPr>
      <w:r>
        <w:rPr/>
        <w:t>-</w:t>
        <w:tab/>
        <w:t>при выполнении работ в отношении строительства, реконструкции, не являющихся объектами капитального строительства;</w:t>
      </w:r>
    </w:p>
    <w:p>
      <w:pPr>
        <w:pStyle w:val="FootnoteText"/>
        <w:tabs>
          <w:tab w:val="clear" w:pos="708"/>
          <w:tab w:val="left" w:pos="284" w:leader="none"/>
        </w:tabs>
        <w:jc w:val="both"/>
        <w:rPr/>
      </w:pPr>
      <w:r>
        <w:rPr/>
        <w:t>-</w:t>
        <w:tab/>
        <w:t>при выполнении работ в отношении строительства, реконструкции на земельном участке строений и сооружений вспомогательного использования;</w:t>
      </w:r>
    </w:p>
    <w:p>
      <w:pPr>
        <w:pStyle w:val="FootnoteText"/>
        <w:tabs>
          <w:tab w:val="clear" w:pos="708"/>
          <w:tab w:val="left" w:pos="284" w:leader="none"/>
        </w:tabs>
        <w:jc w:val="both"/>
        <w:rPr/>
      </w:pPr>
      <w:r>
        <w:rPr/>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4">
    <w:p>
      <w:pPr>
        <w:pStyle w:val="FootnoteText"/>
        <w:jc w:val="both"/>
        <w:rPr/>
      </w:pPr>
      <w:r>
        <w:rPr>
          <w:rStyle w:val="Style15"/>
        </w:rPr>
        <w:footnoteRef/>
      </w:r>
      <w:r>
        <w:rPr/>
        <w:t xml:space="preserve"> </w:t>
      </w:r>
      <w:r>
        <w:rPr/>
        <w:t>В отношении Независимой  гарантии возврата авансового платежа пункт применяется при отсутствии соглашения Сторон или официального письма Подрядчика об отказе от авансовых платежей, требующих обеспечения независимой гарантией, и от предоставления указанной независимой гарантии.</w:t>
      </w:r>
    </w:p>
  </w:footnote>
  <w:footnote w:id="5">
    <w:p>
      <w:pPr>
        <w:pStyle w:val="FootnoteText"/>
        <w:jc w:val="both"/>
        <w:rPr/>
      </w:pPr>
      <w:r>
        <w:rPr>
          <w:rStyle w:val="Style15"/>
        </w:rPr>
        <w:footnoteRef/>
      </w:r>
      <w:r>
        <w:rPr/>
        <w:t xml:space="preserve"> </w:t>
      </w:r>
      <w:r>
        <w:rPr/>
        <w:t>В случае если членство в СРО требуется в соответствии с законодательством Российской Федерации.</w:t>
      </w:r>
    </w:p>
  </w:footnote>
  <w:footnote w:id="6">
    <w:p>
      <w:pPr>
        <w:pStyle w:val="FootnoteText"/>
        <w:jc w:val="both"/>
        <w:rPr/>
      </w:pPr>
      <w:r>
        <w:rPr>
          <w:rStyle w:val="Style15"/>
        </w:rPr>
        <w:footnoteRef/>
      </w:r>
      <w:r>
        <w:rPr/>
        <w:t xml:space="preserve"> </w:t>
      </w:r>
      <w:r>
        <w:rPr/>
        <w:t>В случае если членство в СРО требуется в соответствии с законодательством Российской Федерации.</w:t>
      </w:r>
    </w:p>
  </w:footnote>
  <w:footnote w:id="7">
    <w:p>
      <w:pPr>
        <w:pStyle w:val="FootnoteText"/>
        <w:jc w:val="both"/>
        <w:rPr/>
      </w:pPr>
      <w:r>
        <w:rPr>
          <w:rStyle w:val="Style15"/>
        </w:rPr>
        <w:footnoteRef/>
      </w:r>
      <w:r>
        <w:rPr/>
        <w:t xml:space="preserve"> </w:t>
      </w:r>
      <w:r>
        <w:rPr/>
        <w:t>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8">
    <w:p>
      <w:pPr>
        <w:pStyle w:val="FootnoteText"/>
        <w:jc w:val="both"/>
        <w:rPr/>
      </w:pPr>
      <w:r>
        <w:rPr>
          <w:rStyle w:val="Style15"/>
        </w:rPr>
        <w:footnoteRef/>
      </w:r>
      <w:r>
        <w:rPr/>
        <w:t xml:space="preserve"> </w:t>
      </w:r>
      <w:r>
        <w:rPr/>
        <w:t>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9">
    <w:p>
      <w:pPr>
        <w:pStyle w:val="FootnoteText"/>
        <w:jc w:val="both"/>
        <w:rPr/>
      </w:pPr>
      <w:r>
        <w:rPr>
          <w:rStyle w:val="Style15"/>
        </w:rPr>
        <w:footnoteRef/>
      </w:r>
      <w:r>
        <w:rPr/>
        <w:t xml:space="preserve"> </w:t>
      </w:r>
      <w:r>
        <w:rPr/>
        <w:t>В случае если членство в СРО требуется в соответствии с законодательством Российской Федерации.</w:t>
      </w:r>
    </w:p>
  </w:footnote>
  <w:footnote w:id="10">
    <w:p>
      <w:pPr>
        <w:pStyle w:val="FootnoteText"/>
        <w:jc w:val="both"/>
        <w:rPr/>
      </w:pPr>
      <w:r>
        <w:rPr>
          <w:rStyle w:val="Style15"/>
        </w:rPr>
        <w:footnoteRef/>
      </w:r>
      <w:r>
        <w:rPr/>
        <w:t xml:space="preserve"> </w:t>
      </w:r>
      <w:r>
        <w:rPr/>
        <w:t>С учетом комментариев к пункту 2.3.10 Договора.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hd w:val="clear" w:color="auto" w:fill="FFFFFF"/>
      <w:tabs>
        <w:tab w:val="clear" w:pos="708"/>
        <w:tab w:val="left" w:pos="3148" w:leader="none"/>
        <w:tab w:val="center" w:pos="4818" w:leader="none"/>
        <w:tab w:val="left" w:pos="6926" w:leader="none"/>
      </w:tabs>
      <w:spacing w:lineRule="auto" w:line="240"/>
      <w:ind w:hanging="0"/>
      <w:rPr>
        <w:i/>
        <w:i/>
        <w:sz w:val="22"/>
      </w:rPr>
    </w:pPr>
    <w:r>
      <w:rPr>
        <w:i/>
        <w:sz w:val="22"/>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3">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u w:val="none"/>
        <w:b w:val="false"/>
      </w:rPr>
    </w:lvl>
    <w:lvl w:ilvl="2">
      <w:start w:val="1"/>
      <w:numFmt w:val="decimal"/>
      <w:lvlText w:val="%1.%2.%3."/>
      <w:lvlJc w:val="left"/>
      <w:pPr>
        <w:tabs>
          <w:tab w:val="num" w:pos="0"/>
        </w:tabs>
        <w:ind w:left="504"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u w:val="none"/>
        <w:b w:val="false"/>
      </w:rPr>
    </w:lvl>
    <w:lvl w:ilvl="2">
      <w:start w:val="1"/>
      <w:numFmt w:val="bullet"/>
      <w:lvlText w:val=""/>
      <w:lvlJc w:val="left"/>
      <w:pPr>
        <w:tabs>
          <w:tab w:val="num" w:pos="0"/>
        </w:tabs>
        <w:ind w:left="504" w:hanging="504"/>
      </w:pPr>
      <w:rPr>
        <w:rFonts w:ascii="Symbol" w:hAnsi="Symbol" w:cs="Symbol" w:hint="default"/>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bullet"/>
      <w:lvlText w:val=""/>
      <w:lvlJc w:val="left"/>
      <w:pPr>
        <w:tabs>
          <w:tab w:val="num" w:pos="3576"/>
        </w:tabs>
        <w:ind w:left="3576" w:hanging="360"/>
      </w:pPr>
      <w:rPr>
        <w:rFonts w:ascii="Symbol" w:hAnsi="Symbol" w:cs="Symbol" w:hint="default"/>
      </w:rPr>
    </w:lvl>
    <w:lvl w:ilvl="1">
      <w:start w:val="1"/>
      <w:numFmt w:val="bullet"/>
      <w:lvlText w:val="◦"/>
      <w:lvlJc w:val="left"/>
      <w:pPr>
        <w:tabs>
          <w:tab w:val="num" w:pos="3936"/>
        </w:tabs>
        <w:ind w:left="3936" w:hanging="360"/>
      </w:pPr>
      <w:rPr>
        <w:rFonts w:ascii="OpenSymbol" w:hAnsi="OpenSymbol" w:cs="OpenSymbol" w:hint="default"/>
      </w:rPr>
    </w:lvl>
    <w:lvl w:ilvl="2">
      <w:start w:val="1"/>
      <w:numFmt w:val="bullet"/>
      <w:lvlText w:val="▪"/>
      <w:lvlJc w:val="left"/>
      <w:pPr>
        <w:tabs>
          <w:tab w:val="num" w:pos="4296"/>
        </w:tabs>
        <w:ind w:left="4296" w:hanging="360"/>
      </w:pPr>
      <w:rPr>
        <w:rFonts w:ascii="OpenSymbol" w:hAnsi="OpenSymbol" w:cs="OpenSymbol" w:hint="default"/>
      </w:rPr>
    </w:lvl>
    <w:lvl w:ilvl="3">
      <w:start w:val="1"/>
      <w:numFmt w:val="bullet"/>
      <w:lvlText w:val=""/>
      <w:lvlJc w:val="left"/>
      <w:pPr>
        <w:tabs>
          <w:tab w:val="num" w:pos="4656"/>
        </w:tabs>
        <w:ind w:left="4656" w:hanging="360"/>
      </w:pPr>
      <w:rPr>
        <w:rFonts w:ascii="Symbol" w:hAnsi="Symbol" w:cs="Symbol" w:hint="default"/>
      </w:rPr>
    </w:lvl>
    <w:lvl w:ilvl="4">
      <w:start w:val="1"/>
      <w:numFmt w:val="bullet"/>
      <w:lvlText w:val="◦"/>
      <w:lvlJc w:val="left"/>
      <w:pPr>
        <w:tabs>
          <w:tab w:val="num" w:pos="5016"/>
        </w:tabs>
        <w:ind w:left="5016" w:hanging="360"/>
      </w:pPr>
      <w:rPr>
        <w:rFonts w:ascii="OpenSymbol" w:hAnsi="OpenSymbol" w:cs="OpenSymbol" w:hint="default"/>
      </w:rPr>
    </w:lvl>
    <w:lvl w:ilvl="5">
      <w:start w:val="1"/>
      <w:numFmt w:val="bullet"/>
      <w:lvlText w:val="▪"/>
      <w:lvlJc w:val="left"/>
      <w:pPr>
        <w:tabs>
          <w:tab w:val="num" w:pos="5376"/>
        </w:tabs>
        <w:ind w:left="5376" w:hanging="360"/>
      </w:pPr>
      <w:rPr>
        <w:rFonts w:ascii="OpenSymbol" w:hAnsi="OpenSymbol" w:cs="OpenSymbol" w:hint="default"/>
      </w:rPr>
    </w:lvl>
    <w:lvl w:ilvl="6">
      <w:start w:val="1"/>
      <w:numFmt w:val="bullet"/>
      <w:lvlText w:val=""/>
      <w:lvlJc w:val="left"/>
      <w:pPr>
        <w:tabs>
          <w:tab w:val="num" w:pos="5736"/>
        </w:tabs>
        <w:ind w:left="5736" w:hanging="360"/>
      </w:pPr>
      <w:rPr>
        <w:rFonts w:ascii="Symbol" w:hAnsi="Symbol" w:cs="Symbol" w:hint="default"/>
      </w:rPr>
    </w:lvl>
    <w:lvl w:ilvl="7">
      <w:start w:val="1"/>
      <w:numFmt w:val="bullet"/>
      <w:lvlText w:val="◦"/>
      <w:lvlJc w:val="left"/>
      <w:pPr>
        <w:tabs>
          <w:tab w:val="num" w:pos="6096"/>
        </w:tabs>
        <w:ind w:left="6096" w:hanging="360"/>
      </w:pPr>
      <w:rPr>
        <w:rFonts w:ascii="OpenSymbol" w:hAnsi="OpenSymbol" w:cs="OpenSymbol" w:hint="default"/>
      </w:rPr>
    </w:lvl>
    <w:lvl w:ilvl="8">
      <w:start w:val="1"/>
      <w:numFmt w:val="bullet"/>
      <w:lvlText w:val="▪"/>
      <w:lvlJc w:val="left"/>
      <w:pPr>
        <w:tabs>
          <w:tab w:val="num" w:pos="6456"/>
        </w:tabs>
        <w:ind w:left="6456" w:hanging="360"/>
      </w:pPr>
      <w:rPr>
        <w:rFonts w:ascii="OpenSymbol" w:hAnsi="OpenSymbol" w:cs="OpenSymbol" w:hint="default"/>
      </w:rPr>
    </w:lvl>
  </w:abstractNum>
  <w:abstractNum w:abstractNumId="2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w="http://schemas.openxmlformats.org/wordprocessingml/2006/main">
  <w:zoom w:percent="122"/>
  <w:embedSystemFont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suppressAutoHyphens w:val="true"/>
      <w:bidi w:val="0"/>
      <w:spacing w:lineRule="auto" w:line="360"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Normal"/>
    <w:next w:val="Normal"/>
    <w:link w:val="11"/>
    <w:qFormat/>
    <w:rsid w:val="00ae674d"/>
    <w:pPr>
      <w:keepNext w:val="true"/>
      <w:spacing w:before="240" w:after="60"/>
      <w:outlineLvl w:val="0"/>
    </w:pPr>
    <w:rPr>
      <w:rFonts w:ascii="Cambria" w:hAnsi="Cambria"/>
      <w:b/>
      <w:bCs/>
      <w:kern w:val="2"/>
      <w:sz w:val="32"/>
      <w:szCs w:val="32"/>
      <w:lang w:val="x-none" w:eastAsia="x-none"/>
    </w:rPr>
  </w:style>
  <w:style w:type="paragraph" w:styleId="Heading2">
    <w:name w:val="Heading 2"/>
    <w:basedOn w:val="Normal"/>
    <w:next w:val="Normal"/>
    <w:link w:val="2"/>
    <w:qFormat/>
    <w:rsid w:val="00ae674d"/>
    <w:pPr>
      <w:keepNext w:val="true"/>
      <w:spacing w:before="240" w:after="60"/>
      <w:outlineLvl w:val="1"/>
    </w:pPr>
    <w:rPr>
      <w:rFonts w:ascii="Cambria" w:hAnsi="Cambria"/>
      <w:b/>
      <w:bCs/>
      <w:i/>
      <w:iCs/>
      <w:lang w:val="x-none" w:eastAsia="x-none"/>
    </w:rPr>
  </w:style>
  <w:style w:type="paragraph" w:styleId="Heading3">
    <w:name w:val="Heading 3"/>
    <w:basedOn w:val="Normal"/>
    <w:next w:val="Normal"/>
    <w:link w:val="3"/>
    <w:uiPriority w:val="9"/>
    <w:qFormat/>
    <w:rsid w:val="005f3f9e"/>
    <w:pPr>
      <w:keepNext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FootnoteReference" w:customStyle="1">
    <w:name w:val="Footnote Reference"/>
    <w:rPr>
      <w:vertAlign w:val="superscript"/>
    </w:rPr>
  </w:style>
  <w:style w:type="character" w:styleId="FootnoteCharacters" w:customStyle="1">
    <w:name w:val="Footnote Characters"/>
    <w:uiPriority w:val="99"/>
    <w:qFormat/>
    <w:rsid w:val="00d45657"/>
    <w:rPr>
      <w:vertAlign w:val="superscript"/>
    </w:rPr>
  </w:style>
  <w:style w:type="character" w:styleId="3" w:customStyle="1">
    <w:name w:val="Заголовок 3 Знак"/>
    <w:qFormat/>
    <w:rsid w:val="005f3f9e"/>
    <w:rPr>
      <w:b/>
      <w:sz w:val="28"/>
    </w:rPr>
  </w:style>
  <w:style w:type="character" w:styleId="31" w:customStyle="1">
    <w:name w:val="3. Подпункт Знак"/>
    <w:link w:val="33"/>
    <w:qFormat/>
    <w:rsid w:val="005f4a86"/>
    <w:rPr>
      <w:b/>
      <w:bCs/>
      <w:sz w:val="24"/>
      <w:szCs w:val="24"/>
    </w:rPr>
  </w:style>
  <w:style w:type="character" w:styleId="Style6" w:customStyle="1">
    <w:name w:val="Текст выноски Знак"/>
    <w:link w:val="BalloonText"/>
    <w:qFormat/>
    <w:rsid w:val="00dc2b59"/>
    <w:rPr>
      <w:rFonts w:ascii="Tahoma" w:hAnsi="Tahoma" w:cs="Tahoma"/>
      <w:sz w:val="16"/>
      <w:szCs w:val="16"/>
    </w:rPr>
  </w:style>
  <w:style w:type="character" w:styleId="1" w:customStyle="1">
    <w:name w:val="1. Статья Знак"/>
    <w:link w:val="12"/>
    <w:qFormat/>
    <w:rsid w:val="00f50d64"/>
    <w:rPr>
      <w:b w:val="false"/>
      <w:sz w:val="24"/>
      <w:szCs w:val="24"/>
    </w:rPr>
  </w:style>
  <w:style w:type="character" w:styleId="4" w:customStyle="1">
    <w:name w:val="4. Отчерк Знак"/>
    <w:link w:val="41"/>
    <w:qFormat/>
    <w:rsid w:val="00f50d64"/>
    <w:rPr>
      <w:sz w:val="24"/>
      <w:szCs w:val="24"/>
    </w:rPr>
  </w:style>
  <w:style w:type="character" w:styleId="Annotationreference">
    <w:name w:val="annotation reference"/>
    <w:qFormat/>
    <w:rsid w:val="00f50d64"/>
    <w:rPr>
      <w:sz w:val="16"/>
      <w:szCs w:val="16"/>
    </w:rPr>
  </w:style>
  <w:style w:type="character" w:styleId="Style7" w:customStyle="1">
    <w:name w:val="Текст примечания Знак"/>
    <w:link w:val="Annotationtext"/>
    <w:qFormat/>
    <w:rsid w:val="00f50d64"/>
    <w:rPr/>
  </w:style>
  <w:style w:type="character" w:styleId="Style8" w:customStyle="1">
    <w:name w:val="Тема примечания Знак"/>
    <w:link w:val="Annotationsubject"/>
    <w:qFormat/>
    <w:rsid w:val="00f50d64"/>
    <w:rPr>
      <w:b/>
      <w:bCs/>
    </w:rPr>
  </w:style>
  <w:style w:type="character" w:styleId="Style9" w:customStyle="1">
    <w:name w:val="Нижний колонтитул Знак"/>
    <w:uiPriority w:val="99"/>
    <w:qFormat/>
    <w:rsid w:val="0043217c"/>
    <w:rPr>
      <w:sz w:val="28"/>
      <w:szCs w:val="28"/>
    </w:rPr>
  </w:style>
  <w:style w:type="character" w:styleId="32" w:customStyle="1">
    <w:name w:val="Основной текст 3 Знак"/>
    <w:link w:val="BodyText3"/>
    <w:qFormat/>
    <w:rsid w:val="001d2676"/>
    <w:rPr>
      <w:color w:val="0000FF"/>
      <w:sz w:val="24"/>
      <w:szCs w:val="24"/>
      <w:lang w:eastAsia="en-US"/>
    </w:rPr>
  </w:style>
  <w:style w:type="character" w:styleId="Style10" w:customStyle="1">
    <w:name w:val="Заголовок Знак"/>
    <w:link w:val="13"/>
    <w:qFormat/>
    <w:rsid w:val="00ae674d"/>
    <w:rPr>
      <w:b/>
      <w:sz w:val="22"/>
      <w:szCs w:val="22"/>
      <w:shd w:fill="FFFFFF" w:val="clear"/>
    </w:rPr>
  </w:style>
  <w:style w:type="character" w:styleId="11" w:customStyle="1">
    <w:name w:val="Заголовок 1 Знак"/>
    <w:qFormat/>
    <w:rsid w:val="00ae674d"/>
    <w:rPr>
      <w:rFonts w:ascii="Cambria" w:hAnsi="Cambria" w:eastAsia="Times New Roman" w:cs="Times New Roman"/>
      <w:b/>
      <w:bCs/>
      <w:kern w:val="2"/>
      <w:sz w:val="32"/>
      <w:szCs w:val="32"/>
    </w:rPr>
  </w:style>
  <w:style w:type="character" w:styleId="2" w:customStyle="1">
    <w:name w:val="Заголовок 2 Знак"/>
    <w:semiHidden/>
    <w:qFormat/>
    <w:rsid w:val="00ae674d"/>
    <w:rPr>
      <w:rFonts w:ascii="Cambria" w:hAnsi="Cambria" w:eastAsia="Times New Roman" w:cs="Times New Roman"/>
      <w:b/>
      <w:bCs/>
      <w:i/>
      <w:iCs/>
      <w:sz w:val="28"/>
      <w:szCs w:val="28"/>
    </w:rPr>
  </w:style>
  <w:style w:type="character" w:styleId="Style11"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2" w:customStyle="1">
    <w:name w:val="Текст сноски Знак"/>
    <w:uiPriority w:val="99"/>
    <w:qFormat/>
    <w:rsid w:val="00f43f0d"/>
    <w:rPr/>
  </w:style>
  <w:style w:type="character" w:styleId="Hyperlink" w:customStyle="1">
    <w:name w:val="Hyperlink"/>
    <w:uiPriority w:val="99"/>
    <w:unhideWhenUsed/>
    <w:rsid w:val="00ee68c6"/>
    <w:rPr>
      <w:color w:val="0000FF"/>
      <w:u w:val="single"/>
    </w:rPr>
  </w:style>
  <w:style w:type="character" w:styleId="Style13" w:customStyle="1">
    <w:name w:val="Текст концевой сноски Знак"/>
    <w:uiPriority w:val="99"/>
    <w:semiHidden/>
    <w:qFormat/>
    <w:rsid w:val="008c02d8"/>
    <w:rPr/>
  </w:style>
  <w:style w:type="character" w:styleId="EndnoteReference" w:customStyle="1">
    <w:name w:val="Endnote Reference"/>
    <w:rPr>
      <w:vertAlign w:val="superscript"/>
    </w:rPr>
  </w:style>
  <w:style w:type="character" w:styleId="EndnoteCharacters" w:customStyle="1">
    <w:name w:val="Endnote Characters"/>
    <w:uiPriority w:val="99"/>
    <w:semiHidden/>
    <w:unhideWhenUsed/>
    <w:qFormat/>
    <w:rsid w:val="008c02d8"/>
    <w:rPr>
      <w:vertAlign w:val="superscript"/>
    </w:rPr>
  </w:style>
  <w:style w:type="character" w:styleId="Style14" w:customStyle="1">
    <w:name w:val="Абзац списка Знак"/>
    <w:link w:val="ListParagraph"/>
    <w:uiPriority w:val="34"/>
    <w:qFormat/>
    <w:locked/>
    <w:rsid w:val="006245a8"/>
    <w:rPr>
      <w:sz w:val="24"/>
      <w:szCs w:val="24"/>
    </w:rPr>
  </w:style>
  <w:style w:type="character" w:styleId="Style15" w:customStyle="1">
    <w:name w:val="Символ сноски"/>
    <w:qFormat/>
    <w:rPr/>
  </w:style>
  <w:style w:type="character" w:styleId="Style16" w:customStyle="1">
    <w:name w:val="Маркеры"/>
    <w:qFormat/>
    <w:rPr>
      <w:rFonts w:ascii="OpenSymbol" w:hAnsi="OpenSymbol" w:eastAsia="OpenSymbol" w:cs="OpenSymbol"/>
    </w:rPr>
  </w:style>
  <w:style w:type="character" w:styleId="Style17" w:customStyle="1">
    <w:name w:val="Символ концевой сноски"/>
    <w:qFormat/>
    <w:rPr/>
  </w:style>
  <w:style w:type="paragraph" w:styleId="Style18">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rsid w:val="004b090f"/>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i/>
      <w:iCs/>
      <w:sz w:val="24"/>
      <w:szCs w:val="24"/>
    </w:rPr>
  </w:style>
  <w:style w:type="paragraph" w:styleId="Style19">
    <w:name w:val="Указатель"/>
    <w:basedOn w:val="Normal"/>
    <w:qFormat/>
    <w:pPr>
      <w:suppressLineNumbers/>
    </w:pPr>
    <w:rPr/>
  </w:style>
  <w:style w:type="paragraph" w:styleId="Title">
    <w:name w:val="Title"/>
    <w:basedOn w:val="Normal"/>
    <w:next w:val="BodyText"/>
    <w:qFormat/>
    <w:pPr>
      <w:keepNext w:val="true"/>
      <w:spacing w:before="240" w:after="120"/>
    </w:pPr>
    <w:rPr>
      <w:rFonts w:ascii="Liberation Sans" w:hAnsi="Liberation Sans" w:eastAsia="WenQuanYi Zen Hei Sharp" w:cs="Lohit Devanagari"/>
    </w:rPr>
  </w:style>
  <w:style w:type="paragraph" w:styleId="Caption1">
    <w:name w:val="caption1"/>
    <w:basedOn w:val="Normal"/>
    <w:next w:val="Normal"/>
    <w:qFormat/>
    <w:rsid w:val="00ae674d"/>
    <w:pPr>
      <w:widowControl w:val="false"/>
      <w:spacing w:lineRule="auto" w:line="240" w:before="120" w:after="120"/>
      <w:ind w:hanging="0"/>
      <w:textAlignment w:val="baseline"/>
    </w:pPr>
    <w:rPr>
      <w:b/>
      <w:bCs/>
      <w:sz w:val="24"/>
      <w:szCs w:val="24"/>
    </w:rPr>
  </w:style>
  <w:style w:type="paragraph" w:styleId="Indexheading">
    <w:name w:val="index heading"/>
    <w:basedOn w:val="Normal"/>
    <w:qFormat/>
    <w:pPr>
      <w:suppressLineNumbers/>
    </w:pPr>
    <w:rPr>
      <w:rFonts w:cs="Lohit Devanagari"/>
    </w:rPr>
  </w:style>
  <w:style w:type="paragraph" w:styleId="BodyText3">
    <w:name w:val="Body Text 3"/>
    <w:basedOn w:val="Normal"/>
    <w:link w:val="32"/>
    <w:qFormat/>
    <w:rsid w:val="004b090f"/>
    <w:pPr>
      <w:spacing w:lineRule="auto" w:line="240"/>
      <w:ind w:hanging="0"/>
    </w:pPr>
    <w:rPr>
      <w:color w:val="0000FF"/>
      <w:sz w:val="24"/>
      <w:szCs w:val="24"/>
      <w:lang w:val="x-none" w:eastAsia="en-US"/>
    </w:rPr>
  </w:style>
  <w:style w:type="paragraph" w:styleId="Style20" w:customStyle="1">
    <w:name w:val="Колонтитул"/>
    <w:basedOn w:val="Normal"/>
    <w:qFormat/>
    <w:pPr/>
    <w:rPr/>
  </w:style>
  <w:style w:type="paragraph" w:styleId="Header">
    <w:name w:val="Header"/>
    <w:basedOn w:val="Normal"/>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21"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12"/>
    <w:uiPriority w:val="99"/>
    <w:rsid w:val="00d45657"/>
    <w:pPr>
      <w:spacing w:lineRule="auto" w:line="240"/>
      <w:ind w:hanging="0"/>
      <w:jc w:val="left"/>
    </w:pPr>
    <w:rPr>
      <w:sz w:val="20"/>
      <w:szCs w:val="20"/>
    </w:rPr>
  </w:style>
  <w:style w:type="paragraph" w:styleId="Style22"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1"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23"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24"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25"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link w:val="Style14"/>
    <w:uiPriority w:val="34"/>
    <w:qFormat/>
    <w:rsid w:val="005f3f9e"/>
    <w:pPr>
      <w:spacing w:lineRule="auto" w:line="240" w:before="0" w:after="0"/>
      <w:ind w:left="720" w:hanging="0"/>
      <w:contextualSpacing/>
      <w:jc w:val="left"/>
    </w:pPr>
    <w:rPr>
      <w:sz w:val="24"/>
      <w:szCs w:val="24"/>
    </w:rPr>
  </w:style>
  <w:style w:type="paragraph" w:styleId="12" w:customStyle="1">
    <w:name w:val="1. Статья"/>
    <w:basedOn w:val="Heading3"/>
    <w:link w:val="1"/>
    <w:qFormat/>
    <w:rsid w:val="005f4a86"/>
    <w:pPr>
      <w:keepNext w:val="false"/>
      <w:widowControl w:val="false"/>
      <w:numPr>
        <w:ilvl w:val="0"/>
        <w:numId w:val="2"/>
      </w:numPr>
      <w:tabs>
        <w:tab w:val="clear" w:pos="708"/>
        <w:tab w:val="left" w:pos="2340" w:leader="none"/>
      </w:tabs>
      <w:suppressAutoHyphens w:val="false"/>
      <w:spacing w:before="0" w:after="0"/>
      <w:ind w:right="1462" w:hanging="0"/>
      <w:jc w:val="center"/>
      <w:textAlignment w:val="baseline"/>
    </w:pPr>
    <w:rPr>
      <w:b w:val="false"/>
      <w:sz w:val="24"/>
      <w:szCs w:val="24"/>
    </w:rPr>
  </w:style>
  <w:style w:type="paragraph" w:styleId="22" w:customStyle="1">
    <w:name w:val="2. Пункт"/>
    <w:basedOn w:val="Heading3"/>
    <w:qFormat/>
    <w:rsid w:val="005f4a86"/>
    <w:pPr>
      <w:keepNext w:val="false"/>
      <w:widowControl w:val="false"/>
      <w:numPr>
        <w:ilvl w:val="1"/>
        <w:numId w:val="2"/>
      </w:numPr>
      <w:suppressAutoHyphens w:val="false"/>
      <w:spacing w:before="0" w:after="0"/>
      <w:jc w:val="both"/>
      <w:textAlignment w:val="baseline"/>
    </w:pPr>
    <w:rPr>
      <w:b w:val="false"/>
      <w:sz w:val="24"/>
      <w:szCs w:val="24"/>
    </w:rPr>
  </w:style>
  <w:style w:type="paragraph" w:styleId="33" w:customStyle="1">
    <w:name w:val="3. Подпункт"/>
    <w:basedOn w:val="Heading3"/>
    <w:link w:val="31"/>
    <w:qFormat/>
    <w:rsid w:val="005f4a86"/>
    <w:pPr>
      <w:keepNext w:val="false"/>
      <w:widowControl w:val="false"/>
      <w:numPr>
        <w:ilvl w:val="2"/>
        <w:numId w:val="2"/>
      </w:numPr>
      <w:tabs>
        <w:tab w:val="clear" w:pos="708"/>
        <w:tab w:val="left" w:pos="1620" w:leader="none"/>
      </w:tabs>
      <w:suppressAutoHyphens w:val="fals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right="19772" w:firstLine="720"/>
      <w:jc w:val="left"/>
    </w:pPr>
    <w:rPr>
      <w:rFonts w:ascii="Arial" w:hAnsi="Arial" w:eastAsia="Times New Roman" w:cs="Times New Roman"/>
      <w:color w:val="auto"/>
      <w:kern w:val="0"/>
      <w:sz w:val="32"/>
      <w:szCs w:val="20"/>
      <w:lang w:eastAsia="en-US" w:val="ru-RU" w:bidi="ar-SA"/>
    </w:rPr>
  </w:style>
  <w:style w:type="paragraph" w:styleId="BalloonText">
    <w:name w:val="Balloon Text"/>
    <w:basedOn w:val="Normal"/>
    <w:link w:val="Style6"/>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
    <w:qFormat/>
    <w:rsid w:val="00f50d64"/>
    <w:pPr>
      <w:widowControl w:val="false"/>
      <w:numPr>
        <w:ilvl w:val="0"/>
        <w:numId w:val="3"/>
      </w:numPr>
      <w:spacing w:lineRule="auto" w:line="240"/>
    </w:pPr>
    <w:rPr>
      <w:sz w:val="24"/>
      <w:szCs w:val="24"/>
      <w:lang w:val="x-none" w:eastAsia="x-none"/>
    </w:rPr>
  </w:style>
  <w:style w:type="paragraph" w:styleId="Annotationtext">
    <w:name w:val="annotation text"/>
    <w:basedOn w:val="Normal"/>
    <w:link w:val="Style7"/>
    <w:qFormat/>
    <w:rsid w:val="00f50d64"/>
    <w:pPr>
      <w:spacing w:lineRule="auto" w:line="240"/>
    </w:pPr>
    <w:rPr>
      <w:sz w:val="20"/>
      <w:szCs w:val="20"/>
      <w:lang w:val="x-none" w:eastAsia="x-none"/>
    </w:rPr>
  </w:style>
  <w:style w:type="paragraph" w:styleId="Annotationsubject">
    <w:name w:val="annotation subject"/>
    <w:basedOn w:val="Annotationtext"/>
    <w:next w:val="Annotationtext"/>
    <w:link w:val="Style8"/>
    <w:qFormat/>
    <w:rsid w:val="00f50d64"/>
    <w:pPr/>
    <w:rPr>
      <w:b/>
      <w:bCs/>
    </w:rPr>
  </w:style>
  <w:style w:type="paragraph" w:styleId="Footer">
    <w:name w:val="Footer"/>
    <w:basedOn w:val="Normal"/>
    <w:link w:val="Style9"/>
    <w:uiPriority w:val="99"/>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13" w:customStyle="1">
    <w:name w:val="Заголовок1"/>
    <w:basedOn w:val="Normal"/>
    <w:link w:val="Style10"/>
    <w:qFormat/>
    <w:rsid w:val="00ae674d"/>
    <w:pPr>
      <w:widowControl w:val="false"/>
      <w:spacing w:lineRule="auto" w:line="240" w:before="0" w:after="120"/>
      <w:ind w:hanging="0"/>
      <w:jc w:val="center"/>
      <w:textAlignment w:val="baseline"/>
    </w:pPr>
    <w:rPr>
      <w:b/>
      <w:bCs/>
      <w:sz w:val="32"/>
      <w:szCs w:val="20"/>
    </w:rPr>
  </w:style>
  <w:style w:type="paragraph" w:styleId="BodyTextIndent">
    <w:name w:val="Body Text Indent"/>
    <w:basedOn w:val="Normal"/>
    <w:link w:val="Style11"/>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spacing w:lineRule="auto" w:line="240" w:before="240" w:after="240"/>
      <w:ind w:left="704" w:hanging="504"/>
      <w:jc w:val="left"/>
      <w:textAlignment w:val="baseline"/>
      <w:outlineLvl w:val="1"/>
    </w:pPr>
    <w:rPr>
      <w:sz w:val="24"/>
      <w:szCs w:val="20"/>
    </w:rPr>
  </w:style>
  <w:style w:type="paragraph" w:styleId="14"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f43f0d"/>
    <w:pPr>
      <w:keepNext w:val="true"/>
      <w:keepLines/>
      <w:numPr>
        <w:ilvl w:val="0"/>
        <w:numId w:val="5"/>
      </w:numPr>
      <w:tabs>
        <w:tab w:val="clear" w:pos="708"/>
        <w:tab w:val="left" w:pos="0" w:leader="none"/>
        <w:tab w:val="left" w:pos="567" w:leader="none"/>
      </w:tabs>
      <w:spacing w:lineRule="auto" w:line="240" w:before="360" w:after="120"/>
      <w:jc w:val="center"/>
      <w:textAlignment w:val="baseline"/>
      <w:outlineLvl w:val="1"/>
    </w:pPr>
    <w:rPr>
      <w:b/>
      <w:bCs/>
      <w:caps/>
    </w:rPr>
  </w:style>
  <w:style w:type="paragraph" w:styleId="-1" w:customStyle="1">
    <w:name w:val="Контракт-пункт"/>
    <w:basedOn w:val="Normal"/>
    <w:qFormat/>
    <w:rsid w:val="00f43f0d"/>
    <w:pPr>
      <w:numPr>
        <w:ilvl w:val="1"/>
        <w:numId w:val="5"/>
      </w:numPr>
    </w:pPr>
    <w:rPr/>
  </w:style>
  <w:style w:type="paragraph" w:styleId="-2" w:customStyle="1">
    <w:name w:val="Контракт-подпункт"/>
    <w:basedOn w:val="Normal"/>
    <w:qFormat/>
    <w:rsid w:val="00f43f0d"/>
    <w:pPr>
      <w:numPr>
        <w:ilvl w:val="2"/>
        <w:numId w:val="5"/>
      </w:numPr>
    </w:pPr>
    <w:rPr/>
  </w:style>
  <w:style w:type="paragraph" w:styleId="-3" w:customStyle="1">
    <w:name w:val="Контракт-подподпункт"/>
    <w:basedOn w:val="Normal"/>
    <w:qFormat/>
    <w:rsid w:val="00f43f0d"/>
    <w:pPr>
      <w:numPr>
        <w:ilvl w:val="3"/>
        <w:numId w:val="5"/>
      </w:numPr>
    </w:pPr>
    <w:rPr/>
  </w:style>
  <w:style w:type="paragraph" w:styleId="EndnoteText">
    <w:name w:val="Endnote Text"/>
    <w:basedOn w:val="Normal"/>
    <w:link w:val="Style13"/>
    <w:uiPriority w:val="99"/>
    <w:semiHidden/>
    <w:unhideWhenUsed/>
    <w:rsid w:val="008c02d8"/>
    <w:pPr/>
    <w:rPr>
      <w:sz w:val="20"/>
      <w:szCs w:val="20"/>
      <w:lang w:val="x-none" w:eastAsia="x-none"/>
    </w:rPr>
  </w:style>
  <w:style w:type="paragraph" w:styleId="ConsPlusNonformat" w:customStyle="1">
    <w:name w:val="ConsPlusNonformat"/>
    <w:qFormat/>
    <w:rsid w:val="00df3fb9"/>
    <w:pPr>
      <w:widowControl w:val="false"/>
      <w:suppressAutoHyphens w:val="true"/>
      <w:bidi w:val="0"/>
      <w:spacing w:before="0" w:after="0"/>
      <w:jc w:val="left"/>
    </w:pPr>
    <w:rPr>
      <w:rFonts w:ascii="Courier New" w:hAnsi="Courier New" w:cs="Courier New" w:eastAsia="Times New Roman"/>
      <w:color w:val="auto"/>
      <w:kern w:val="0"/>
      <w:sz w:val="20"/>
      <w:szCs w:val="20"/>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7">
    <w:name w:val="Table Grid"/>
    <w:basedOn w:val="a1"/>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header" Target="header4.xml"/><Relationship Id="rId10" Type="http://schemas.openxmlformats.org/officeDocument/2006/relationships/header" Target="header5.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footnotes" Target="footnotes.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Relationship Id="rId22" Type="http://schemas.openxmlformats.org/officeDocument/2006/relationships/customXml" Target="../customXml/item5.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6A3A85D-F361-492A-A2DD-CCF65DB19449}">
  <ds:schemaRefs>
    <ds:schemaRef ds:uri="http://schemas.openxmlformats.org/officeDocument/2006/bibliography"/>
  </ds:schemaRefs>
</ds:datastoreItem>
</file>

<file path=customXml/itemProps5.xml><?xml version="1.0" encoding="utf-8"?>
<ds:datastoreItem xmlns:ds="http://schemas.openxmlformats.org/officeDocument/2006/customXml" ds:itemID="{9551DA2E-A425-4D30-B0CB-BBA1AFA3B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Application>AlterOffice/3.3.0.4$Linux_X86_64 LibreOffice_project/fa736b558560ebea8f92088bfd7720f4b3918f3f</Application>
  <AppVersion>15.0000</AppVersion>
  <Pages>38</Pages>
  <Words>13067</Words>
  <Characters>94204</Characters>
  <CharactersWithSpaces>106935</CharactersWithSpaces>
  <Paragraphs>648</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2022-11-01T07:43:00Z</dcterms:created>
  <dc:creator>UK VoHEC</dc:creator>
  <dc:description/>
  <dc:language>ru-RU</dc:language>
  <cp:lastModifiedBy>molchanova_mn</cp:lastModifiedBy>
  <cp:lastPrinted>2023-12-29T13:16:00Z</cp:lastPrinted>
  <dcterms:modified xsi:type="dcterms:W3CDTF">2024-02-02T17:37:11Z</dcterms:modified>
  <cp:revision>21</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